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71" w:rsidRPr="00D46FAC" w:rsidRDefault="00D46FAC" w:rsidP="00D46FAC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D46FAC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                                           </w:t>
      </w:r>
      <w:r w:rsidR="00AC49AA" w:rsidRPr="00D46FAC">
        <w:rPr>
          <w:rFonts w:ascii="Times New Roman" w:hAnsi="Times New Roman" w:cs="Times New Roman"/>
          <w:i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i/>
          <w:lang w:val="en-US"/>
        </w:rPr>
        <w:t>Anexă</w:t>
      </w:r>
      <w:proofErr w:type="spellEnd"/>
      <w:r w:rsidRPr="00D46FAC">
        <w:rPr>
          <w:rFonts w:ascii="Times New Roman" w:hAnsi="Times New Roman" w:cs="Times New Roman"/>
          <w:i/>
          <w:lang w:val="en-US"/>
        </w:rPr>
        <w:t xml:space="preserve"> </w:t>
      </w:r>
    </w:p>
    <w:p w:rsidR="005B6856" w:rsidRPr="00D46FAC" w:rsidRDefault="00D46FAC" w:rsidP="005B6856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  <w:r w:rsidRPr="00D46FAC">
        <w:rPr>
          <w:rFonts w:ascii="Times New Roman" w:hAnsi="Times New Roman" w:cs="Times New Roman"/>
          <w:i/>
          <w:lang w:val="en-US"/>
        </w:rPr>
        <w:t xml:space="preserve">la </w:t>
      </w:r>
      <w:proofErr w:type="spellStart"/>
      <w:r w:rsidRPr="00D46FAC">
        <w:rPr>
          <w:rFonts w:ascii="Times New Roman" w:hAnsi="Times New Roman" w:cs="Times New Roman"/>
          <w:i/>
          <w:lang w:val="en-US"/>
        </w:rPr>
        <w:t>decizia</w:t>
      </w:r>
      <w:proofErr w:type="spellEnd"/>
      <w:r w:rsidRPr="00D46FAC">
        <w:rPr>
          <w:rFonts w:ascii="Times New Roman" w:hAnsi="Times New Roman" w:cs="Times New Roman"/>
          <w:i/>
          <w:lang w:val="en-US"/>
        </w:rPr>
        <w:t xml:space="preserve"> </w:t>
      </w:r>
      <w:r w:rsidR="005B6856" w:rsidRPr="00D46F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B6856" w:rsidRPr="00D46FAC">
        <w:rPr>
          <w:rFonts w:ascii="Times New Roman" w:hAnsi="Times New Roman" w:cs="Times New Roman"/>
          <w:i/>
          <w:lang w:val="en-US"/>
        </w:rPr>
        <w:t>Consiliul</w:t>
      </w:r>
      <w:r>
        <w:rPr>
          <w:rFonts w:ascii="Times New Roman" w:hAnsi="Times New Roman" w:cs="Times New Roman"/>
          <w:i/>
          <w:lang w:val="en-US"/>
        </w:rPr>
        <w:t>ui</w:t>
      </w:r>
      <w:bookmarkStart w:id="0" w:name="_GoBack"/>
      <w:bookmarkEnd w:id="0"/>
      <w:proofErr w:type="spellEnd"/>
      <w:r w:rsidR="005B6856" w:rsidRPr="00D46F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B6856" w:rsidRPr="00D46FAC">
        <w:rPr>
          <w:rFonts w:ascii="Times New Roman" w:hAnsi="Times New Roman" w:cs="Times New Roman"/>
          <w:i/>
          <w:lang w:val="en-US"/>
        </w:rPr>
        <w:t>raional</w:t>
      </w:r>
      <w:proofErr w:type="spellEnd"/>
      <w:r w:rsidR="005B6856" w:rsidRPr="00D46F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B6856" w:rsidRPr="00D46FAC">
        <w:rPr>
          <w:rFonts w:ascii="Times New Roman" w:hAnsi="Times New Roman" w:cs="Times New Roman"/>
          <w:i/>
          <w:lang w:val="en-US"/>
        </w:rPr>
        <w:t>Sîngerei</w:t>
      </w:r>
      <w:proofErr w:type="spellEnd"/>
      <w:r w:rsidR="005B6856" w:rsidRPr="00D46FAC">
        <w:rPr>
          <w:rFonts w:ascii="Times New Roman" w:hAnsi="Times New Roman" w:cs="Times New Roman"/>
          <w:i/>
          <w:lang w:val="en-US"/>
        </w:rPr>
        <w:t xml:space="preserve"> </w:t>
      </w:r>
    </w:p>
    <w:p w:rsidR="005B6856" w:rsidRPr="00D46FAC" w:rsidRDefault="00D46FAC">
      <w:pPr>
        <w:rPr>
          <w:rFonts w:ascii="Times New Roman" w:hAnsi="Times New Roman" w:cs="Times New Roman"/>
          <w:i/>
          <w:lang w:val="en-US"/>
        </w:rPr>
      </w:pPr>
      <w:r w:rsidRPr="00D46FAC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                          </w:t>
      </w:r>
      <w:proofErr w:type="spellStart"/>
      <w:r w:rsidRPr="00D46FAC">
        <w:rPr>
          <w:rFonts w:ascii="Times New Roman" w:hAnsi="Times New Roman" w:cs="Times New Roman"/>
          <w:i/>
          <w:lang w:val="en-US"/>
        </w:rPr>
        <w:t>nr</w:t>
      </w:r>
      <w:proofErr w:type="spellEnd"/>
      <w:r w:rsidRPr="00D46FAC">
        <w:rPr>
          <w:rFonts w:ascii="Times New Roman" w:hAnsi="Times New Roman" w:cs="Times New Roman"/>
          <w:i/>
          <w:lang w:val="en-US"/>
        </w:rPr>
        <w:t>. 2/19 din 10.06.2022</w:t>
      </w:r>
    </w:p>
    <w:p w:rsidR="005B6856" w:rsidRPr="00B30E66" w:rsidRDefault="005B6856">
      <w:pPr>
        <w:rPr>
          <w:rFonts w:ascii="Times New Roman" w:hAnsi="Times New Roman" w:cs="Times New Roman"/>
          <w:lang w:val="en-US"/>
        </w:rPr>
      </w:pPr>
    </w:p>
    <w:p w:rsidR="00AC49AA" w:rsidRPr="00FB0CBC" w:rsidRDefault="00FB0CBC" w:rsidP="00FB0C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0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Plan local de </w:t>
      </w:r>
      <w:proofErr w:type="spellStart"/>
      <w:r w:rsidRPr="00FB0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vaccinare</w:t>
      </w:r>
      <w:proofErr w:type="spellEnd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13"/>
        <w:gridCol w:w="4928"/>
        <w:gridCol w:w="2055"/>
        <w:gridCol w:w="1548"/>
        <w:gridCol w:w="1227"/>
      </w:tblGrid>
      <w:tr w:rsidR="00AC49AA" w:rsidTr="00464085">
        <w:tc>
          <w:tcPr>
            <w:tcW w:w="61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10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Activități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privind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intensificarea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procesului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vaccinare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nivel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local</w:t>
            </w:r>
          </w:p>
        </w:tc>
        <w:tc>
          <w:tcPr>
            <w:tcW w:w="207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Responsabili</w:t>
            </w:r>
            <w:proofErr w:type="spellEnd"/>
          </w:p>
        </w:tc>
        <w:tc>
          <w:tcPr>
            <w:tcW w:w="157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Termen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realizare</w:t>
            </w:r>
            <w:proofErr w:type="spellEnd"/>
          </w:p>
        </w:tc>
        <w:tc>
          <w:tcPr>
            <w:tcW w:w="122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Efectuat</w:t>
            </w:r>
            <w:proofErr w:type="spellEnd"/>
          </w:p>
          <w:p w:rsidR="00AC49AA" w:rsidRPr="00AC49AA" w:rsidRDefault="00AC49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Da/Nu</w:t>
            </w:r>
          </w:p>
        </w:tc>
      </w:tr>
      <w:tr w:rsidR="00AC49AA" w:rsidRPr="00FE12E6" w:rsidTr="00464085">
        <w:tc>
          <w:tcPr>
            <w:tcW w:w="61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7" w:type="dxa"/>
          </w:tcPr>
          <w:p w:rsidR="00AC49AA" w:rsidRPr="009773B6" w:rsidRDefault="00AC49AA" w:rsidP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Crearea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coordonatori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responsabili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gestionarea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desfășurarea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etapelor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campanie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AC49AA" w:rsidRPr="009773B6" w:rsidRDefault="00AC49AA" w:rsidP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desfășurării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COVID-19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rutină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aprobată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decizia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consiliului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AC49AA" w:rsidRPr="009773B6" w:rsidRDefault="00AC49AA" w:rsidP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Identificarea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unui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coordonator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responsabil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local.</w:t>
            </w:r>
          </w:p>
        </w:tc>
        <w:tc>
          <w:tcPr>
            <w:tcW w:w="2077" w:type="dxa"/>
          </w:tcPr>
          <w:p w:rsidR="00AC49AA" w:rsidRPr="00AC49AA" w:rsidRDefault="00FE1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Vicepreședintele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CSP, 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Sîngerei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Sîngerei</w:t>
            </w:r>
            <w:proofErr w:type="spellEnd"/>
            <w:r w:rsidR="004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DASPF </w:t>
            </w:r>
            <w:proofErr w:type="spellStart"/>
            <w:r w:rsidR="004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Sîngerei</w:t>
            </w:r>
            <w:proofErr w:type="spellEnd"/>
          </w:p>
        </w:tc>
        <w:tc>
          <w:tcPr>
            <w:tcW w:w="1573" w:type="dxa"/>
          </w:tcPr>
          <w:p w:rsidR="00AC49AA" w:rsidRPr="00AC49AA" w:rsidRDefault="00464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E1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.06.2022</w:t>
            </w:r>
          </w:p>
        </w:tc>
        <w:tc>
          <w:tcPr>
            <w:tcW w:w="122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AA" w:rsidRPr="00FE12E6" w:rsidTr="00464085">
        <w:tc>
          <w:tcPr>
            <w:tcW w:w="61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7" w:type="dxa"/>
          </w:tcPr>
          <w:p w:rsidR="00AC49AA" w:rsidRPr="009773B6" w:rsidRDefault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Formarea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vorbitori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influente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teritorial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primar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consilier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medic,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polițist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2077" w:type="dxa"/>
          </w:tcPr>
          <w:p w:rsidR="00AC49AA" w:rsidRPr="00AC49AA" w:rsidRDefault="005307BF" w:rsidP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773B6">
              <w:rPr>
                <w:rFonts w:ascii="Times New Roman" w:hAnsi="Times New Roman" w:cs="Times New Roman"/>
                <w:lang w:val="en-US"/>
              </w:rPr>
              <w:t>rimar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consilier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medic,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polițist</w:t>
            </w:r>
            <w:proofErr w:type="spellEnd"/>
          </w:p>
        </w:tc>
        <w:tc>
          <w:tcPr>
            <w:tcW w:w="1573" w:type="dxa"/>
          </w:tcPr>
          <w:p w:rsidR="00AC49AA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15.06.2022</w:t>
            </w:r>
          </w:p>
        </w:tc>
        <w:tc>
          <w:tcPr>
            <w:tcW w:w="122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AA" w:rsidRPr="00FE12E6" w:rsidTr="00464085">
        <w:tc>
          <w:tcPr>
            <w:tcW w:w="61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7" w:type="dxa"/>
          </w:tcPr>
          <w:p w:rsidR="00AC49AA" w:rsidRPr="009773B6" w:rsidRDefault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Elaborarea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actualizarea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aprobarea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planului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local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decizia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consiliului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AC49AA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Sîngerei</w:t>
            </w:r>
            <w:proofErr w:type="spellEnd"/>
          </w:p>
        </w:tc>
        <w:tc>
          <w:tcPr>
            <w:tcW w:w="1573" w:type="dxa"/>
          </w:tcPr>
          <w:p w:rsidR="00AC49AA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10.06.2022</w:t>
            </w:r>
          </w:p>
        </w:tc>
        <w:tc>
          <w:tcPr>
            <w:tcW w:w="122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AA" w:rsidRPr="00FE12E6" w:rsidTr="00464085">
        <w:tc>
          <w:tcPr>
            <w:tcW w:w="61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7" w:type="dxa"/>
          </w:tcPr>
          <w:p w:rsidR="00AC49AA" w:rsidRPr="009773B6" w:rsidRDefault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Actulizarea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listei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numărul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total al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locuitorilor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care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sunt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sunt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nevaccinați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clasificați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categoriile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vârstă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AC49AA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</w:t>
            </w:r>
          </w:p>
        </w:tc>
        <w:tc>
          <w:tcPr>
            <w:tcW w:w="1573" w:type="dxa"/>
          </w:tcPr>
          <w:p w:rsidR="00AC49AA" w:rsidRPr="00AC49AA" w:rsidRDefault="00464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3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.06.2022</w:t>
            </w:r>
          </w:p>
        </w:tc>
        <w:tc>
          <w:tcPr>
            <w:tcW w:w="122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AA" w:rsidRPr="00FE12E6" w:rsidTr="00464085">
        <w:tc>
          <w:tcPr>
            <w:tcW w:w="61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7" w:type="dxa"/>
          </w:tcPr>
          <w:p w:rsidR="00AC49AA" w:rsidRPr="009773B6" w:rsidRDefault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Stabilirea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obiectivelor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zilnice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sătptămânale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creșterea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acoperirii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fi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luați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calcul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indicatorii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rutină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≥95%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până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31.08.2022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administrarea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dozelor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primare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booster COVID-19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atingere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țintei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70%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acoperire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împotriva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COVID-19</w:t>
            </w:r>
          </w:p>
        </w:tc>
        <w:tc>
          <w:tcPr>
            <w:tcW w:w="2077" w:type="dxa"/>
          </w:tcPr>
          <w:p w:rsidR="00AC49AA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Săptămînal</w:t>
            </w:r>
            <w:proofErr w:type="spellEnd"/>
          </w:p>
        </w:tc>
        <w:tc>
          <w:tcPr>
            <w:tcW w:w="1573" w:type="dxa"/>
          </w:tcPr>
          <w:p w:rsidR="00AC49AA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7BF" w:rsidTr="00464085">
        <w:tc>
          <w:tcPr>
            <w:tcW w:w="613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7" w:type="dxa"/>
          </w:tcPr>
          <w:p w:rsidR="005307BF" w:rsidRPr="009773B6" w:rsidRDefault="005307BF" w:rsidP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deplasărilor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cel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puțin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într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-un sat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săptămână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coordonatori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campaniei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Președintele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Vicepreședintele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Director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spital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Șef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CSP,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Șef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CS,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Crucea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Roșie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etc.)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factorilor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decizie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primari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director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școală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director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grădiniță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social, medic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familie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liderii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religiogși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liderii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comunei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5307BF" w:rsidRPr="009773B6" w:rsidRDefault="005307BF" w:rsidP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Scopul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deplasărilor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fiind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menționarea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importanței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îndemnarea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intensifica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Orarul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plecărilor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teritoriu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fie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stabilit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până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30.06.2022.</w:t>
            </w:r>
          </w:p>
        </w:tc>
        <w:tc>
          <w:tcPr>
            <w:tcW w:w="2077" w:type="dxa"/>
          </w:tcPr>
          <w:p w:rsidR="005307BF" w:rsidRPr="00AC49AA" w:rsidRDefault="005307BF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Săptămînal</w:t>
            </w:r>
            <w:proofErr w:type="spellEnd"/>
          </w:p>
        </w:tc>
        <w:tc>
          <w:tcPr>
            <w:tcW w:w="1573" w:type="dxa"/>
          </w:tcPr>
          <w:p w:rsidR="005307BF" w:rsidRPr="00AC49AA" w:rsidRDefault="005307BF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7BF" w:rsidRPr="00FE12E6" w:rsidTr="00464085">
        <w:tc>
          <w:tcPr>
            <w:tcW w:w="613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7" w:type="dxa"/>
          </w:tcPr>
          <w:p w:rsidR="005307BF" w:rsidRPr="009773B6" w:rsidRDefault="005307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implicării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intersectorial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tuturor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direcțiilor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inspectoratelor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agențiilor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teritoriale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promovarea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importanței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(ex. ANSA, MAI, etc.), ca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metodă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sigură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profilaxie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specifică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muncă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sigur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5307BF" w:rsidRPr="00AC49AA" w:rsidRDefault="005307BF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Săptămînal</w:t>
            </w:r>
            <w:proofErr w:type="spellEnd"/>
          </w:p>
        </w:tc>
        <w:tc>
          <w:tcPr>
            <w:tcW w:w="1573" w:type="dxa"/>
          </w:tcPr>
          <w:p w:rsidR="005307BF" w:rsidRPr="00AC49AA" w:rsidRDefault="005307BF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7BF" w:rsidRPr="00FE12E6" w:rsidTr="00464085">
        <w:tc>
          <w:tcPr>
            <w:tcW w:w="613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7" w:type="dxa"/>
          </w:tcPr>
          <w:p w:rsidR="005307BF" w:rsidRPr="009773B6" w:rsidRDefault="005307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Identificarea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prioritizarea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grupurilor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situații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risc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nevaccinate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precum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vulnerabile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o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vârstă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mare de 60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ani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comorbidități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Elaborarea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unie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liste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date de contact ale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acestor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5307BF" w:rsidRPr="00AC49AA" w:rsidRDefault="005307BF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</w:t>
            </w:r>
          </w:p>
        </w:tc>
        <w:tc>
          <w:tcPr>
            <w:tcW w:w="1573" w:type="dxa"/>
          </w:tcPr>
          <w:p w:rsidR="005307BF" w:rsidRPr="00AC49AA" w:rsidRDefault="005307BF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30.06.2022</w:t>
            </w:r>
          </w:p>
        </w:tc>
        <w:tc>
          <w:tcPr>
            <w:tcW w:w="1227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7BF" w:rsidRPr="00FE12E6" w:rsidTr="00464085">
        <w:tc>
          <w:tcPr>
            <w:tcW w:w="613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107" w:type="dxa"/>
          </w:tcPr>
          <w:p w:rsidR="005307BF" w:rsidRPr="009773B6" w:rsidRDefault="005307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Contactarea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invitarea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nevaccinate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intermediul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telefonului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rețele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socializare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către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familii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sociali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voluntar</w:t>
            </w:r>
            <w:proofErr w:type="spellEnd"/>
          </w:p>
        </w:tc>
        <w:tc>
          <w:tcPr>
            <w:tcW w:w="2077" w:type="dxa"/>
          </w:tcPr>
          <w:p w:rsidR="005307BF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573" w:type="dxa"/>
          </w:tcPr>
          <w:p w:rsidR="005307BF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7BF" w:rsidRPr="00FE12E6" w:rsidTr="00464085">
        <w:tc>
          <w:tcPr>
            <w:tcW w:w="613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7" w:type="dxa"/>
          </w:tcPr>
          <w:p w:rsidR="005307BF" w:rsidRPr="009773B6" w:rsidRDefault="005307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Elaborarea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unei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hărți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fie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reprezentată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acoperirea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funcție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municipiu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5307BF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</w:t>
            </w:r>
          </w:p>
        </w:tc>
        <w:tc>
          <w:tcPr>
            <w:tcW w:w="1573" w:type="dxa"/>
          </w:tcPr>
          <w:p w:rsidR="005307BF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7BF" w:rsidRPr="00FE12E6" w:rsidTr="00464085">
        <w:tc>
          <w:tcPr>
            <w:tcW w:w="613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07" w:type="dxa"/>
          </w:tcPr>
          <w:p w:rsidR="005307BF" w:rsidRPr="009773B6" w:rsidRDefault="005307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Determinarea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capacității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forței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muncă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local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imunizare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, (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centre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temporare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situate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ultracentrale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mobile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muncă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trai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2077" w:type="dxa"/>
          </w:tcPr>
          <w:p w:rsidR="005307BF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</w:t>
            </w:r>
          </w:p>
        </w:tc>
        <w:tc>
          <w:tcPr>
            <w:tcW w:w="1573" w:type="dxa"/>
          </w:tcPr>
          <w:p w:rsidR="005307BF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Implicarea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campanie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anume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influență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: CSP/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primară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spitalicească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farmaciști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socială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/MAI/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lideri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/ONG.</w:t>
            </w:r>
          </w:p>
        </w:tc>
        <w:tc>
          <w:tcPr>
            <w:tcW w:w="2077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IMSP, CSP, APL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niv.I</w:t>
            </w:r>
            <w:proofErr w:type="spellEnd"/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Distribuirea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mesajelor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cheie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către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implicate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precum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instruirea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acestora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până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efectuarea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deplasărilor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</w:t>
            </w:r>
          </w:p>
        </w:tc>
        <w:tc>
          <w:tcPr>
            <w:tcW w:w="157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Implicarea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desfășurarea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campaniei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necesitate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disponibilitate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personalului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pensionat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personalului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diverse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competențe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(din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private,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farmacii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colegii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asociații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profesionale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organizații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neguvernamentale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unități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gestionate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societatea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civilă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organizații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religioase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207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APL, IMSP,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</w:t>
            </w:r>
            <w:proofErr w:type="spellEnd"/>
          </w:p>
        </w:tc>
        <w:tc>
          <w:tcPr>
            <w:tcW w:w="157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Identificarea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strategiilor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adecvate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furnizare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serviciilor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diferite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grupuri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risc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ridicat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vulnerabile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mobile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punct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temporar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locuri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ultracetnrale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companiilor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F7078B" w:rsidRPr="00AC49AA" w:rsidRDefault="00F7078B" w:rsidP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IMSP, CSP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Stabilirea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maratoanelor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locale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larg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populației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teritoriu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implicarea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direcțiilor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Educație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Socială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IMSP, CSP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Estimarea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echipamentelor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necesare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produsele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auxiliare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punct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medical.</w:t>
            </w:r>
          </w:p>
        </w:tc>
        <w:tc>
          <w:tcPr>
            <w:tcW w:w="2077" w:type="dxa"/>
          </w:tcPr>
          <w:p w:rsidR="00F7078B" w:rsidRPr="00AC49AA" w:rsidRDefault="00F7078B" w:rsidP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IMSP, CSP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Elaborarea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unui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plan care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prevedea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transportarea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vaccinurilor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dar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gestionarea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deșeurilor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urma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de ex.: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numărul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necesar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automobile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graficul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acestora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sincronizat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specialiștii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Includeți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vehicule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care pot fi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puse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disponibilitate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autorități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locale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parteneri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strategici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sectorul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privat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bazate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credință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, ONG-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agenții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internaționale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aborda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lacunele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F7078B" w:rsidRPr="00AC49AA" w:rsidRDefault="00F7078B" w:rsidP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IMSP, </w:t>
            </w:r>
            <w:r w:rsidR="00F57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CSP, APL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Cunoașterea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mesajelor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cheie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informaților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veridice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științifice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importanța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F7078B" w:rsidRPr="00AC49AA" w:rsidRDefault="00F7078B" w:rsidP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IMSP, </w:t>
            </w:r>
            <w:r w:rsidR="00F57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Distribuirea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video, audio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vizuale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publice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școli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poștă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bancă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farmacii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, etc.</w:t>
            </w:r>
          </w:p>
        </w:tc>
        <w:tc>
          <w:tcPr>
            <w:tcW w:w="2077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IMSP, DASPF, DE, APL, MAI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Implicarea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activă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tuturor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farmaciilor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comunicare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distribuire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informative.</w:t>
            </w:r>
          </w:p>
        </w:tc>
        <w:tc>
          <w:tcPr>
            <w:tcW w:w="2077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Farmacii</w:t>
            </w:r>
            <w:proofErr w:type="spellEnd"/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Lipirea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abțibildurilor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privire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punctele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COVID-19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intrare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locurile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vizibile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(CS/CSP/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Spital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Farmacii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2077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IMSP, APL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distribuirii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„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Meniul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zilei”în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toate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localurile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alimentație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F7078B" w:rsidRPr="00AC49AA" w:rsidRDefault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APL, CSP, ANSA</w:t>
            </w:r>
          </w:p>
        </w:tc>
        <w:tc>
          <w:tcPr>
            <w:tcW w:w="1573" w:type="dxa"/>
          </w:tcPr>
          <w:p w:rsidR="00F7078B" w:rsidRPr="00AC49AA" w:rsidRDefault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Utilizarea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rețelelor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socializare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plasarea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video, audio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informative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importanța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. Este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recomandată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utlizarea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paginilor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oficiale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paginilor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distribuirea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pagina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oficială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Ministerului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Sănătății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Agenției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Naționale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Organizației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Mondiale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Sănătății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(World Health Organization in Moldova), www.vaccinare.gov.md, www.covidinfo.gov.md</w:t>
            </w:r>
          </w:p>
        </w:tc>
        <w:tc>
          <w:tcPr>
            <w:tcW w:w="2077" w:type="dxa"/>
          </w:tcPr>
          <w:p w:rsidR="00F7078B" w:rsidRPr="00AC49AA" w:rsidRDefault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IMSP, MAI, APL, DE, mass-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mrdia</w:t>
            </w:r>
            <w:proofErr w:type="spellEnd"/>
          </w:p>
        </w:tc>
        <w:tc>
          <w:tcPr>
            <w:tcW w:w="1573" w:type="dxa"/>
          </w:tcPr>
          <w:p w:rsidR="00F7078B" w:rsidRPr="00AC49AA" w:rsidRDefault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Monitorizarea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timp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real,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intermediul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sistemului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informațional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RVC-19 (CSP/AMP), Forma 5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acoperirii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dozelor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administrate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zilnic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atingerea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obiectivelor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zilnice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săptămânale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propuse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progresul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atingere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obiectivului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95%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rutină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(ROR, DTP, IPV)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70% (COVID-19).</w:t>
            </w:r>
          </w:p>
        </w:tc>
        <w:tc>
          <w:tcPr>
            <w:tcW w:w="2077" w:type="dxa"/>
          </w:tcPr>
          <w:p w:rsidR="00F7078B" w:rsidRPr="00AC49AA" w:rsidRDefault="00F5765A" w:rsidP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IMSP, CSP</w:t>
            </w:r>
          </w:p>
        </w:tc>
        <w:tc>
          <w:tcPr>
            <w:tcW w:w="1573" w:type="dxa"/>
          </w:tcPr>
          <w:p w:rsidR="00F7078B" w:rsidRPr="00AC49AA" w:rsidRDefault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5504D" w:rsidRDefault="0035504D">
      <w:pPr>
        <w:rPr>
          <w:lang w:val="en-US"/>
        </w:rPr>
      </w:pPr>
    </w:p>
    <w:p w:rsidR="00B30E66" w:rsidRDefault="00B30E66">
      <w:pPr>
        <w:rPr>
          <w:lang w:val="en-US"/>
        </w:rPr>
      </w:pPr>
    </w:p>
    <w:p w:rsidR="00B30E66" w:rsidRDefault="00B30E66">
      <w:pPr>
        <w:rPr>
          <w:lang w:val="en-US"/>
        </w:rPr>
      </w:pPr>
    </w:p>
    <w:p w:rsidR="00B30E66" w:rsidRPr="00B30E66" w:rsidRDefault="00B30E66" w:rsidP="00B30E6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>Vicepreședintele</w:t>
      </w:r>
      <w:proofErr w:type="spellEnd"/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>raionului</w:t>
      </w:r>
      <w:proofErr w:type="spellEnd"/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>Sîngerei</w:t>
      </w:r>
      <w:proofErr w:type="spellEnd"/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Tudor TUTUNARU</w:t>
      </w:r>
    </w:p>
    <w:sectPr w:rsidR="00B30E66" w:rsidRPr="00B30E66" w:rsidSect="0020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AA"/>
    <w:rsid w:val="002010AB"/>
    <w:rsid w:val="0035504D"/>
    <w:rsid w:val="00464085"/>
    <w:rsid w:val="005307BF"/>
    <w:rsid w:val="005B6856"/>
    <w:rsid w:val="00951371"/>
    <w:rsid w:val="009773B6"/>
    <w:rsid w:val="00AC49AA"/>
    <w:rsid w:val="00B30E66"/>
    <w:rsid w:val="00D46FAC"/>
    <w:rsid w:val="00F5765A"/>
    <w:rsid w:val="00F7078B"/>
    <w:rsid w:val="00FB0CBC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7E5C"/>
  <w15:docId w15:val="{EC38F3C6-69A1-4826-91BC-0E186328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SCR</cp:lastModifiedBy>
  <cp:revision>2</cp:revision>
  <cp:lastPrinted>2022-06-03T05:59:00Z</cp:lastPrinted>
  <dcterms:created xsi:type="dcterms:W3CDTF">2022-06-14T12:51:00Z</dcterms:created>
  <dcterms:modified xsi:type="dcterms:W3CDTF">2022-06-14T12:51:00Z</dcterms:modified>
</cp:coreProperties>
</file>