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699DE268" w:rsidR="00740BC1" w:rsidRPr="00186B54" w:rsidRDefault="00186B54" w:rsidP="00186B54">
      <w:pPr>
        <w:jc w:val="right"/>
        <w:rPr>
          <w:b/>
          <w:lang w:val="ro-RO"/>
        </w:rPr>
      </w:pPr>
      <w:r>
        <w:rPr>
          <w:b/>
          <w:lang w:val="ro-RO"/>
        </w:rPr>
        <w:t>EXTRAS</w:t>
      </w:r>
    </w:p>
    <w:p w14:paraId="6387DD4C" w14:textId="34C32B4A" w:rsidR="00E02178" w:rsidRDefault="00CE1234" w:rsidP="00CE1234">
      <w:pPr>
        <w:jc w:val="center"/>
        <w:rPr>
          <w:b/>
          <w:lang w:val="en-US"/>
        </w:rPr>
      </w:pPr>
      <w:r w:rsidRPr="009266B5">
        <w:rPr>
          <w:b/>
          <w:lang w:val="en-US"/>
        </w:rPr>
        <w:t xml:space="preserve">DECIZIE </w:t>
      </w:r>
      <w:r>
        <w:rPr>
          <w:b/>
          <w:lang w:val="en-US"/>
        </w:rPr>
        <w:t xml:space="preserve">Nr. </w:t>
      </w:r>
      <w:r w:rsidR="007971CD">
        <w:rPr>
          <w:b/>
          <w:lang w:val="en-US"/>
        </w:rPr>
        <w:t>8/1</w:t>
      </w:r>
      <w:r w:rsidR="007F3EDC">
        <w:rPr>
          <w:b/>
          <w:lang w:val="en-US"/>
        </w:rPr>
        <w:t>0</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4121C8F8" w14:textId="77777777" w:rsidR="007F3EDC" w:rsidRDefault="007F3EDC" w:rsidP="007F3EDC">
      <w:pPr>
        <w:spacing w:line="276" w:lineRule="auto"/>
        <w:jc w:val="both"/>
        <w:rPr>
          <w:b/>
          <w:bCs/>
          <w:iCs/>
          <w:lang w:val="en-US"/>
        </w:rPr>
      </w:pPr>
      <w:r>
        <w:rPr>
          <w:b/>
          <w:bCs/>
          <w:iCs/>
          <w:lang w:val="en-US"/>
        </w:rPr>
        <w:t xml:space="preserve">Cu privire la încheierea Acordului de colaborare între Consiliul raional Sîngerei și </w:t>
      </w:r>
    </w:p>
    <w:p w14:paraId="4827B141" w14:textId="77777777" w:rsidR="007F3EDC" w:rsidRDefault="007F3EDC" w:rsidP="007F3EDC">
      <w:pPr>
        <w:spacing w:line="276" w:lineRule="auto"/>
        <w:rPr>
          <w:b/>
          <w:bCs/>
          <w:iCs/>
          <w:lang w:val="en-US"/>
        </w:rPr>
      </w:pPr>
      <w:r>
        <w:rPr>
          <w:b/>
          <w:bCs/>
          <w:iCs/>
          <w:lang w:val="en-US"/>
        </w:rPr>
        <w:t xml:space="preserve">Agenția Națională Antidoping </w:t>
      </w:r>
      <w:r>
        <w:rPr>
          <w:b/>
          <w:bCs/>
          <w:iCs/>
          <w:lang w:val="en-US"/>
        </w:rPr>
        <w:tab/>
      </w:r>
    </w:p>
    <w:p w14:paraId="35C7D851" w14:textId="77777777" w:rsidR="007F3EDC" w:rsidRDefault="007F3EDC" w:rsidP="007F3EDC">
      <w:pPr>
        <w:spacing w:line="276" w:lineRule="auto"/>
        <w:rPr>
          <w:b/>
          <w:bCs/>
          <w:iCs/>
          <w:lang w:val="ro-RO"/>
        </w:rPr>
      </w:pPr>
    </w:p>
    <w:p w14:paraId="6BDBC76B" w14:textId="77777777" w:rsidR="007F3EDC" w:rsidRDefault="007F3EDC" w:rsidP="007F3EDC">
      <w:pPr>
        <w:spacing w:line="276" w:lineRule="auto"/>
        <w:ind w:firstLine="567"/>
        <w:jc w:val="both"/>
        <w:rPr>
          <w:bCs/>
          <w:iCs/>
          <w:lang w:val="en-US"/>
        </w:rPr>
      </w:pPr>
      <w:r>
        <w:rPr>
          <w:bCs/>
          <w:iCs/>
          <w:lang w:val="en-US"/>
        </w:rPr>
        <w:t>Având în vedere: Nota de fundamentare “Cu privire la încheierea Acordului de colaborare între Consiliul raional Sîngerei și  Agenția Națională Antidoping ”;</w:t>
      </w:r>
    </w:p>
    <w:p w14:paraId="4EC25CC3" w14:textId="0F9D90D8" w:rsidR="007F3EDC" w:rsidRDefault="007F3EDC" w:rsidP="007F3EDC">
      <w:pPr>
        <w:spacing w:line="276" w:lineRule="auto"/>
        <w:ind w:firstLine="567"/>
        <w:jc w:val="both"/>
        <w:rPr>
          <w:b/>
          <w:bCs/>
          <w:iCs/>
          <w:lang w:val="en-US"/>
        </w:rPr>
      </w:pPr>
      <w:r>
        <w:rPr>
          <w:lang w:val="en-US"/>
        </w:rPr>
        <w:t xml:space="preserve">În conformitate cu art. </w:t>
      </w:r>
      <w:r>
        <w:rPr>
          <w:lang w:val="ro-RO"/>
        </w:rPr>
        <w:t>4</w:t>
      </w:r>
      <w:r>
        <w:rPr>
          <w:lang w:val="en-US"/>
        </w:rPr>
        <w:t xml:space="preserve">3 alin. (1) lit. t), art. 51 alin. (2) lit. a), art. 53 alin. (1) lit. g), art. 53 alin. (2) al Legii nr. 436/2006 privind Administraţia publică locală, Legea nr. 100/2017 cu privire la actele normative, pct. 26 din Anexa nr. 1 a Hotărârii de Guvern nr. 665/2023 “Cu privire la organizarea și funcționarea Agenției Naționale Antidoping”, </w:t>
      </w:r>
      <w:r>
        <w:rPr>
          <w:bCs/>
          <w:lang w:val="ro-RO" w:eastAsia="ro-RO"/>
        </w:rPr>
        <w:t>Scrisoarea Agenției Naționale Antidoping nr. 69-24 din 28 august 2024;</w:t>
      </w:r>
    </w:p>
    <w:p w14:paraId="116D8DAB" w14:textId="77777777" w:rsidR="007F3EDC" w:rsidRDefault="007F3EDC" w:rsidP="007F3EDC">
      <w:pPr>
        <w:tabs>
          <w:tab w:val="left" w:pos="567"/>
        </w:tabs>
        <w:spacing w:line="276" w:lineRule="auto"/>
        <w:ind w:firstLine="567"/>
        <w:jc w:val="both"/>
        <w:rPr>
          <w:lang w:val="en-US"/>
        </w:rPr>
      </w:pPr>
      <w:r>
        <w:rPr>
          <w:lang w:val="en-US"/>
        </w:rPr>
        <w:t>Consiliul raional,</w:t>
      </w:r>
    </w:p>
    <w:p w14:paraId="32E09105" w14:textId="77777777" w:rsidR="007F3EDC" w:rsidRDefault="007F3EDC" w:rsidP="007F3EDC">
      <w:pPr>
        <w:pStyle w:val="a3"/>
        <w:tabs>
          <w:tab w:val="left" w:pos="426"/>
        </w:tabs>
        <w:spacing w:line="276" w:lineRule="auto"/>
        <w:ind w:left="1080"/>
        <w:jc w:val="center"/>
        <w:rPr>
          <w:b/>
          <w:lang w:val="en-US"/>
        </w:rPr>
      </w:pPr>
      <w:r>
        <w:rPr>
          <w:b/>
          <w:lang w:val="ro-RO"/>
        </w:rPr>
        <w:t>DECIDE</w:t>
      </w:r>
      <w:r>
        <w:rPr>
          <w:b/>
          <w:lang w:val="en-US"/>
        </w:rPr>
        <w:t>:</w:t>
      </w:r>
    </w:p>
    <w:p w14:paraId="2ACA5B5A" w14:textId="77777777" w:rsidR="007F3EDC" w:rsidRDefault="007F3EDC" w:rsidP="007F3EDC">
      <w:pPr>
        <w:pStyle w:val="a3"/>
        <w:tabs>
          <w:tab w:val="left" w:pos="426"/>
        </w:tabs>
        <w:spacing w:line="276" w:lineRule="auto"/>
        <w:ind w:left="1080"/>
        <w:jc w:val="center"/>
        <w:rPr>
          <w:b/>
          <w:lang w:val="en-US"/>
        </w:rPr>
      </w:pPr>
    </w:p>
    <w:p w14:paraId="6C28339F" w14:textId="77777777" w:rsidR="007F3EDC" w:rsidRDefault="007F3EDC" w:rsidP="007F3EDC">
      <w:pPr>
        <w:pStyle w:val="a3"/>
        <w:numPr>
          <w:ilvl w:val="0"/>
          <w:numId w:val="16"/>
        </w:numPr>
        <w:tabs>
          <w:tab w:val="left" w:pos="0"/>
          <w:tab w:val="left" w:pos="851"/>
        </w:tabs>
        <w:spacing w:line="276" w:lineRule="auto"/>
        <w:ind w:left="0" w:firstLine="567"/>
        <w:contextualSpacing/>
        <w:jc w:val="both"/>
        <w:rPr>
          <w:lang w:val="ro-RO"/>
        </w:rPr>
      </w:pPr>
      <w:r>
        <w:rPr>
          <w:lang w:val="ro-RO"/>
        </w:rPr>
        <w:t xml:space="preserve">Se aprobă încheierea Acordului de colaborare între Consiliul raional Sîngerei și Camera de Agenția Națională Andidoping, conform anexei. </w:t>
      </w:r>
    </w:p>
    <w:p w14:paraId="5D514D8D" w14:textId="77777777" w:rsidR="007F3EDC" w:rsidRDefault="007F3EDC" w:rsidP="007F3EDC">
      <w:pPr>
        <w:pStyle w:val="a3"/>
        <w:numPr>
          <w:ilvl w:val="0"/>
          <w:numId w:val="16"/>
        </w:numPr>
        <w:tabs>
          <w:tab w:val="left" w:pos="709"/>
          <w:tab w:val="left" w:pos="851"/>
        </w:tabs>
        <w:spacing w:line="276" w:lineRule="auto"/>
        <w:ind w:left="0" w:firstLine="567"/>
        <w:contextualSpacing/>
        <w:jc w:val="both"/>
        <w:rPr>
          <w:lang w:val="ro-RO"/>
        </w:rPr>
      </w:pPr>
      <w:r>
        <w:rPr>
          <w:lang w:val="ro-RO"/>
        </w:rPr>
        <w:t xml:space="preserve">Se împuternicește Președintele raionului Sîngerei (dl Cristian CAINARIAN) să semneze Acordului de colaborare între Consiliul raional Sîngerei și Agenția Națională Antidoping; </w:t>
      </w:r>
    </w:p>
    <w:p w14:paraId="1318FE8E" w14:textId="77777777" w:rsidR="007F3EDC" w:rsidRDefault="007F3EDC" w:rsidP="007F3EDC">
      <w:pPr>
        <w:pStyle w:val="a3"/>
        <w:numPr>
          <w:ilvl w:val="0"/>
          <w:numId w:val="16"/>
        </w:numPr>
        <w:tabs>
          <w:tab w:val="left" w:pos="709"/>
          <w:tab w:val="left" w:pos="851"/>
        </w:tabs>
        <w:spacing w:line="276" w:lineRule="auto"/>
        <w:ind w:left="0" w:firstLine="567"/>
        <w:contextualSpacing/>
        <w:jc w:val="both"/>
        <w:rPr>
          <w:lang w:val="ro-RO"/>
        </w:rPr>
      </w:pPr>
      <w:r>
        <w:rPr>
          <w:lang w:val="ro-RO"/>
        </w:rPr>
        <w:t xml:space="preserve">Controlul asupra realizării prezentei decizii se pune în sarcina Comisiei consultative pentru Învăţămînt, cultură, sport, tineret, ocrotirea sănătăţii, problemele sociale, turism şi culte (I. Roșca) și  Comisiei consultative pentru Etică, legislație, ordine și drepturile omului </w:t>
      </w:r>
    </w:p>
    <w:p w14:paraId="40EA4961" w14:textId="77777777" w:rsidR="007F3EDC" w:rsidRDefault="007F3EDC" w:rsidP="007F3EDC">
      <w:pPr>
        <w:pStyle w:val="a3"/>
        <w:numPr>
          <w:ilvl w:val="0"/>
          <w:numId w:val="16"/>
        </w:numPr>
        <w:tabs>
          <w:tab w:val="left" w:pos="0"/>
          <w:tab w:val="left" w:pos="851"/>
        </w:tabs>
        <w:spacing w:line="276" w:lineRule="auto"/>
        <w:ind w:left="0" w:firstLine="567"/>
        <w:contextualSpacing/>
        <w:jc w:val="both"/>
        <w:rPr>
          <w:color w:val="000000" w:themeColor="text1"/>
          <w:lang w:val="ro-RO"/>
        </w:rPr>
      </w:pPr>
      <w:r>
        <w:rPr>
          <w:lang w:val="ro-RO"/>
        </w:rPr>
        <w:t>Prezenta decizie poate fi contestată la Judecătoria Bălți (sediul Central, str. Hotinului, nr. 43) în termen de 30 zile de la data comunicării, potrivit prevederilor Codului Administrativ al Republicii Moldova nr. 116/2018.</w:t>
      </w:r>
    </w:p>
    <w:p w14:paraId="0FFF1A8B" w14:textId="77777777" w:rsidR="00740BC1" w:rsidRDefault="00740BC1" w:rsidP="00740BC1">
      <w:pPr>
        <w:jc w:val="both"/>
        <w:rPr>
          <w:color w:val="000000"/>
          <w:lang w:val="ro-RO"/>
        </w:rPr>
      </w:pPr>
    </w:p>
    <w:p w14:paraId="42AB9701" w14:textId="77777777" w:rsidR="00281856" w:rsidRDefault="00281856" w:rsidP="009A14D2">
      <w:pPr>
        <w:jc w:val="both"/>
        <w:rPr>
          <w:rFonts w:eastAsia="Calibri"/>
          <w:b/>
          <w:sz w:val="16"/>
          <w:lang w:val="ro-RO"/>
        </w:rPr>
      </w:pPr>
    </w:p>
    <w:p w14:paraId="3BFB5A47" w14:textId="77777777" w:rsidR="007F3EDC" w:rsidRPr="001A582F" w:rsidRDefault="007F3EDC" w:rsidP="009A14D2">
      <w:pPr>
        <w:jc w:val="both"/>
        <w:rPr>
          <w:rFonts w:eastAsia="Calibri"/>
          <w:b/>
          <w:sz w:val="16"/>
          <w:lang w:val="ro-RO"/>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18618FA2" w14:textId="77777777" w:rsidR="001A582F" w:rsidRDefault="001A582F" w:rsidP="001A582F">
      <w:pPr>
        <w:tabs>
          <w:tab w:val="left" w:pos="1860"/>
        </w:tabs>
        <w:jc w:val="both"/>
        <w:rPr>
          <w:rFonts w:eastAsia="Calibri"/>
          <w:b/>
          <w:i/>
          <w:sz w:val="16"/>
          <w:lang w:val="it-IT"/>
        </w:rPr>
      </w:pPr>
    </w:p>
    <w:p w14:paraId="0AF52BB0" w14:textId="77777777" w:rsidR="00186B54" w:rsidRDefault="00186B54" w:rsidP="00186B54">
      <w:pPr>
        <w:rPr>
          <w:b/>
          <w:i/>
          <w:lang w:val="en-US"/>
        </w:rPr>
      </w:pPr>
    </w:p>
    <w:p w14:paraId="7F744087" w14:textId="77777777" w:rsidR="00186B54" w:rsidRPr="006E3C9E" w:rsidRDefault="00186B54" w:rsidP="00186B54">
      <w:pPr>
        <w:rPr>
          <w:b/>
          <w:i/>
          <w:lang w:val="en-US"/>
        </w:rPr>
      </w:pPr>
      <w:bookmarkStart w:id="0" w:name="_GoBack"/>
      <w:bookmarkEnd w:id="0"/>
      <w:r w:rsidRPr="006E3C9E">
        <w:rPr>
          <w:b/>
          <w:i/>
          <w:lang w:val="en-US"/>
        </w:rPr>
        <w:t xml:space="preserve">Conform originalului </w:t>
      </w:r>
    </w:p>
    <w:p w14:paraId="29DC7EB2" w14:textId="77777777" w:rsidR="00186B54" w:rsidRPr="000353F1" w:rsidRDefault="00186B54" w:rsidP="00186B54">
      <w:pPr>
        <w:rPr>
          <w:rFonts w:eastAsia="Calibri"/>
          <w:b/>
          <w:i/>
          <w:sz w:val="16"/>
          <w:lang w:val="en-US"/>
        </w:rPr>
      </w:pPr>
      <w:r w:rsidRPr="006E3C9E">
        <w:rPr>
          <w:b/>
          <w:lang w:val="en-US"/>
        </w:rPr>
        <w:t>Secretară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6903AFFB" w14:textId="77777777" w:rsidR="00186B54" w:rsidRPr="00186B54" w:rsidRDefault="00186B54" w:rsidP="001A582F">
      <w:pPr>
        <w:tabs>
          <w:tab w:val="left" w:pos="1860"/>
        </w:tabs>
        <w:jc w:val="both"/>
        <w:rPr>
          <w:rFonts w:eastAsia="Calibri"/>
          <w:b/>
          <w:i/>
          <w:sz w:val="16"/>
          <w:lang w:val="en-US"/>
        </w:rPr>
      </w:pPr>
    </w:p>
    <w:sectPr w:rsidR="00186B54" w:rsidRPr="00186B54"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23FC215A"/>
    <w:multiLevelType w:val="hybridMultilevel"/>
    <w:tmpl w:val="C666D624"/>
    <w:lvl w:ilvl="0" w:tplc="E5D6EFF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7">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9">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4">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5">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15"/>
  </w:num>
  <w:num w:numId="3">
    <w:abstractNumId w:val="2"/>
  </w:num>
  <w:num w:numId="4">
    <w:abstractNumId w:val="12"/>
  </w:num>
  <w:num w:numId="5">
    <w:abstractNumId w:val="0"/>
  </w:num>
  <w:num w:numId="6">
    <w:abstractNumId w:val="1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3"/>
  </w:num>
  <w:num w:numId="13">
    <w:abstractNumId w:val="3"/>
  </w:num>
  <w:num w:numId="14">
    <w:abstractNumId w:val="10"/>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86B54"/>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F3EDC"/>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223103633">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7E0B-4C5E-470C-ADCE-31D66EE1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2024-10-03T06:35:00Z</cp:lastPrinted>
  <dcterms:created xsi:type="dcterms:W3CDTF">2024-12-05T12:23:00Z</dcterms:created>
  <dcterms:modified xsi:type="dcterms:W3CDTF">2024-12-05T12:23:00Z</dcterms:modified>
</cp:coreProperties>
</file>