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9F2896C" w14:textId="5CEE2D63" w:rsidR="00740BC1" w:rsidRPr="00AE5674" w:rsidRDefault="00AE5674" w:rsidP="00AE5674">
      <w:pPr>
        <w:jc w:val="right"/>
        <w:rPr>
          <w:b/>
          <w:lang w:val="ro-RO"/>
        </w:rPr>
      </w:pPr>
      <w:r>
        <w:rPr>
          <w:b/>
          <w:lang w:val="ro-RO"/>
        </w:rPr>
        <w:t>EXTRAS</w:t>
      </w:r>
    </w:p>
    <w:p w14:paraId="6387DD4C" w14:textId="01E32782" w:rsidR="00E02178" w:rsidRDefault="00CE1234" w:rsidP="00CE1234">
      <w:pPr>
        <w:jc w:val="center"/>
        <w:rPr>
          <w:b/>
          <w:lang w:val="en-US"/>
        </w:rPr>
      </w:pPr>
      <w:r w:rsidRPr="009266B5">
        <w:rPr>
          <w:b/>
          <w:lang w:val="en-US"/>
        </w:rPr>
        <w:t xml:space="preserve">DECIZIE </w:t>
      </w:r>
      <w:r>
        <w:rPr>
          <w:b/>
          <w:lang w:val="en-US"/>
        </w:rPr>
        <w:t xml:space="preserve">Nr. </w:t>
      </w:r>
      <w:r w:rsidR="007F2280">
        <w:rPr>
          <w:b/>
          <w:lang w:val="en-US"/>
        </w:rPr>
        <w:t>8/20</w:t>
      </w:r>
    </w:p>
    <w:p w14:paraId="5885478C" w14:textId="67E93DBE" w:rsidR="00CE1234" w:rsidRPr="009266B5" w:rsidRDefault="00CE1234" w:rsidP="00CE1234">
      <w:pPr>
        <w:jc w:val="center"/>
        <w:rPr>
          <w:b/>
          <w:lang w:val="en-US"/>
        </w:rPr>
      </w:pPr>
      <w:r>
        <w:rPr>
          <w:b/>
          <w:lang w:val="en-US"/>
        </w:rPr>
        <w:t xml:space="preserve">din </w:t>
      </w:r>
      <w:r w:rsidR="005F5923">
        <w:rPr>
          <w:b/>
          <w:lang w:val="en-US"/>
        </w:rPr>
        <w:t>2</w:t>
      </w:r>
      <w:r w:rsidR="00740BC1">
        <w:rPr>
          <w:b/>
          <w:lang w:val="en-US"/>
        </w:rPr>
        <w:t>8</w:t>
      </w:r>
      <w:r w:rsidR="005F5923">
        <w:rPr>
          <w:b/>
          <w:lang w:val="en-US"/>
        </w:rPr>
        <w:t xml:space="preserve"> </w:t>
      </w:r>
      <w:r w:rsidR="00740BC1">
        <w:rPr>
          <w:b/>
          <w:lang w:val="en-US"/>
        </w:rPr>
        <w:t>noiembrie</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Default="00CE1234" w:rsidP="00614C26">
      <w:pPr>
        <w:tabs>
          <w:tab w:val="left" w:pos="709"/>
        </w:tabs>
        <w:jc w:val="both"/>
        <w:rPr>
          <w:lang w:val="ro-RO"/>
        </w:rPr>
      </w:pPr>
      <w:r w:rsidRPr="00F07718">
        <w:rPr>
          <w:lang w:val="ro-RO"/>
        </w:rPr>
        <w:tab/>
      </w:r>
    </w:p>
    <w:p w14:paraId="3C4B2B6B" w14:textId="77777777" w:rsidR="007F2280" w:rsidRPr="007F2280" w:rsidRDefault="007F2280" w:rsidP="007F2280">
      <w:pPr>
        <w:spacing w:line="276" w:lineRule="auto"/>
        <w:rPr>
          <w:rFonts w:eastAsiaTheme="minorHAnsi"/>
          <w:b/>
          <w:lang w:val="en-US" w:eastAsia="en-US"/>
        </w:rPr>
      </w:pPr>
      <w:r w:rsidRPr="007F2280">
        <w:rPr>
          <w:rFonts w:eastAsiaTheme="minorHAnsi"/>
          <w:b/>
          <w:lang w:val="en-US" w:eastAsia="en-US"/>
        </w:rPr>
        <w:t>C</w:t>
      </w:r>
      <w:r w:rsidRPr="007F2280">
        <w:rPr>
          <w:rFonts w:eastAsiaTheme="minorHAnsi"/>
          <w:b/>
          <w:bCs/>
          <w:lang w:val="ro-RO" w:eastAsia="en-US"/>
        </w:rPr>
        <w:t>u</w:t>
      </w:r>
      <w:r w:rsidRPr="007F2280">
        <w:rPr>
          <w:rFonts w:eastAsiaTheme="minorHAnsi"/>
          <w:lang w:val="en-US" w:eastAsia="en-US"/>
        </w:rPr>
        <w:t xml:space="preserve"> </w:t>
      </w:r>
      <w:r w:rsidRPr="007F2280">
        <w:rPr>
          <w:rFonts w:eastAsiaTheme="minorHAnsi"/>
          <w:b/>
          <w:lang w:val="en-US" w:eastAsia="en-US"/>
        </w:rPr>
        <w:t xml:space="preserve">privire la acordarea premiului anual pentru anul 2024, </w:t>
      </w:r>
    </w:p>
    <w:p w14:paraId="2ACD7D84" w14:textId="77777777" w:rsidR="007F2280" w:rsidRPr="007F2280" w:rsidRDefault="007F2280" w:rsidP="007F2280">
      <w:pPr>
        <w:spacing w:line="276" w:lineRule="auto"/>
        <w:rPr>
          <w:rFonts w:eastAsiaTheme="minorHAnsi"/>
          <w:b/>
          <w:lang w:val="en-US" w:eastAsia="en-US"/>
        </w:rPr>
      </w:pPr>
      <w:r w:rsidRPr="007F2280">
        <w:rPr>
          <w:rFonts w:eastAsiaTheme="minorHAnsi"/>
          <w:b/>
          <w:lang w:val="en-US" w:eastAsia="en-US"/>
        </w:rPr>
        <w:t>precum și ajutorului material</w:t>
      </w:r>
    </w:p>
    <w:p w14:paraId="2854FC08" w14:textId="77777777" w:rsidR="007F2280" w:rsidRPr="007F2280" w:rsidRDefault="007F2280" w:rsidP="007F2280">
      <w:pPr>
        <w:rPr>
          <w:b/>
          <w:sz w:val="22"/>
          <w:szCs w:val="22"/>
          <w:lang w:val="en-US"/>
        </w:rPr>
      </w:pPr>
    </w:p>
    <w:p w14:paraId="5F5598E5" w14:textId="77777777" w:rsidR="007F2280" w:rsidRPr="007F2280" w:rsidRDefault="007F2280" w:rsidP="007F2280">
      <w:pPr>
        <w:spacing w:line="276" w:lineRule="auto"/>
        <w:rPr>
          <w:rFonts w:eastAsiaTheme="minorHAnsi"/>
          <w:lang w:val="en-US" w:eastAsia="en-US"/>
        </w:rPr>
      </w:pPr>
      <w:r w:rsidRPr="007F2280">
        <w:rPr>
          <w:sz w:val="22"/>
          <w:szCs w:val="22"/>
          <w:lang w:val="en-US"/>
        </w:rPr>
        <w:tab/>
      </w:r>
      <w:r w:rsidRPr="007F2280">
        <w:rPr>
          <w:lang w:val="en-US"/>
        </w:rPr>
        <w:t>Având în vedere: Nota de fundamentare „</w:t>
      </w:r>
      <w:r w:rsidRPr="007F2280">
        <w:rPr>
          <w:rFonts w:eastAsiaTheme="minorHAnsi"/>
          <w:lang w:val="en-US" w:eastAsia="en-US"/>
        </w:rPr>
        <w:t>C</w:t>
      </w:r>
      <w:r w:rsidRPr="007F2280">
        <w:rPr>
          <w:rFonts w:eastAsiaTheme="minorHAnsi"/>
          <w:bCs/>
          <w:lang w:val="ro-RO" w:eastAsia="en-US"/>
        </w:rPr>
        <w:t>u</w:t>
      </w:r>
      <w:r w:rsidRPr="007F2280">
        <w:rPr>
          <w:rFonts w:eastAsiaTheme="minorHAnsi"/>
          <w:lang w:val="en-US" w:eastAsia="en-US"/>
        </w:rPr>
        <w:t xml:space="preserve"> privire la acordarea premiului anual pentru anul 2024, precum și ajutorului material</w:t>
      </w:r>
      <w:r w:rsidRPr="007F2280">
        <w:rPr>
          <w:lang w:val="ro-RO"/>
        </w:rPr>
        <w:t>”</w:t>
      </w:r>
      <w:r w:rsidRPr="007F2280">
        <w:rPr>
          <w:bCs/>
          <w:lang w:val="en-US"/>
        </w:rPr>
        <w:t>.</w:t>
      </w:r>
    </w:p>
    <w:p w14:paraId="71D768CC" w14:textId="77777777" w:rsidR="007F2280" w:rsidRPr="007F2280" w:rsidRDefault="007F2280" w:rsidP="007F2280">
      <w:pPr>
        <w:jc w:val="both"/>
        <w:rPr>
          <w:rFonts w:eastAsiaTheme="minorEastAsia"/>
          <w:lang w:val="en-US" w:eastAsia="en-US"/>
        </w:rPr>
      </w:pPr>
      <w:r w:rsidRPr="007F2280">
        <w:rPr>
          <w:rFonts w:eastAsia="Calibri"/>
          <w:bCs/>
          <w:lang w:val="ro-RO" w:eastAsia="en-US"/>
        </w:rPr>
        <w:tab/>
      </w:r>
      <w:r w:rsidRPr="007F2280">
        <w:rPr>
          <w:rFonts w:eastAsiaTheme="majorEastAsia"/>
          <w:lang w:val="en-US"/>
        </w:rPr>
        <w:t xml:space="preserve">În temeiul </w:t>
      </w:r>
      <w:r w:rsidRPr="007F2280">
        <w:rPr>
          <w:rFonts w:eastAsiaTheme="minorEastAsia"/>
          <w:lang w:val="ro-RO" w:eastAsia="en-US"/>
        </w:rPr>
        <w:t xml:space="preserve">art. 43 alin. (2) al Legii nr. 436/2006 privind administraţia publică locală, art. </w:t>
      </w:r>
      <w:r w:rsidRPr="007F2280">
        <w:rPr>
          <w:rFonts w:eastAsiaTheme="minorEastAsia"/>
          <w:lang w:val="en-US" w:eastAsia="en-US"/>
        </w:rPr>
        <w:t>165</w:t>
      </w:r>
      <w:r w:rsidRPr="007F2280">
        <w:rPr>
          <w:rFonts w:eastAsiaTheme="minorEastAsia"/>
          <w:vertAlign w:val="superscript"/>
          <w:lang w:val="en-US" w:eastAsia="en-US"/>
        </w:rPr>
        <w:t>1</w:t>
      </w:r>
      <w:r w:rsidRPr="007F2280">
        <w:rPr>
          <w:rFonts w:eastAsiaTheme="minorEastAsia"/>
          <w:lang w:val="ro-RO" w:eastAsia="en-US"/>
        </w:rPr>
        <w:t xml:space="preserve"> din Codul Muncii al Republicii Moldova nr. 154/2003, </w:t>
      </w:r>
      <w:r w:rsidRPr="007F2280">
        <w:rPr>
          <w:rFonts w:eastAsiaTheme="minorEastAsia"/>
          <w:lang w:val="en-US" w:eastAsia="en-US"/>
        </w:rPr>
        <w:t>art. 21</w:t>
      </w:r>
      <w:r w:rsidRPr="007F2280">
        <w:rPr>
          <w:rFonts w:eastAsiaTheme="minorEastAsia"/>
          <w:vertAlign w:val="superscript"/>
          <w:lang w:val="en-US" w:eastAsia="en-US"/>
        </w:rPr>
        <w:t xml:space="preserve">1 </w:t>
      </w:r>
      <w:r w:rsidRPr="007F2280">
        <w:rPr>
          <w:rFonts w:eastAsiaTheme="minorEastAsia"/>
          <w:lang w:val="en-US" w:eastAsia="en-US"/>
        </w:rPr>
        <w:t xml:space="preserve">al Legii nr. 270/2018 privind sistemul unitar de salarizare în sectorul bugetar, </w:t>
      </w:r>
      <w:r w:rsidRPr="007F2280">
        <w:rPr>
          <w:rFonts w:eastAsiaTheme="minorEastAsia"/>
          <w:shd w:val="clear" w:color="auto" w:fill="FFFFFF"/>
          <w:lang w:val="en-US" w:eastAsia="en-US"/>
        </w:rPr>
        <w:t xml:space="preserve">Regulamentului privind modul de calculare și plată a premiului anual personalului din unitățile bugetare aprobat prin </w:t>
      </w:r>
      <w:r w:rsidRPr="007F2280">
        <w:rPr>
          <w:rFonts w:eastAsiaTheme="minorEastAsia"/>
          <w:lang w:val="en-US" w:eastAsia="en-US"/>
        </w:rPr>
        <w:t>Hotărârea Guvernului nr. 1231/2018 pentru punerea în aplicare a prevederilor Legii nr. 270/2018 privind sistemul unitar de salarizare în sectorul bugetar</w:t>
      </w:r>
      <w:r w:rsidRPr="007F2280">
        <w:rPr>
          <w:rFonts w:eastAsiaTheme="minorEastAsia"/>
          <w:lang w:val="ro-RO" w:eastAsia="en-US"/>
        </w:rPr>
        <w:t>, precum și Contractului Colectiv de muncă al Aparatului Președintelui raionului Sîngerei,</w:t>
      </w:r>
      <w:r w:rsidRPr="007F2280">
        <w:rPr>
          <w:rFonts w:eastAsiaTheme="minorEastAsia"/>
          <w:lang w:val="en-US" w:eastAsia="en-US"/>
        </w:rPr>
        <w:t xml:space="preserve">            </w:t>
      </w:r>
    </w:p>
    <w:p w14:paraId="6FDC519E" w14:textId="77777777" w:rsidR="007F2280" w:rsidRPr="007F2280" w:rsidRDefault="007F2280" w:rsidP="007F2280">
      <w:pPr>
        <w:ind w:firstLine="708"/>
        <w:jc w:val="both"/>
        <w:rPr>
          <w:rFonts w:eastAsiaTheme="minorEastAsia"/>
          <w:lang w:val="ro-RO" w:eastAsia="en-US"/>
        </w:rPr>
      </w:pPr>
      <w:r w:rsidRPr="007F2280">
        <w:rPr>
          <w:rFonts w:eastAsiaTheme="minorEastAsia"/>
          <w:lang w:val="en-US" w:eastAsia="en-US"/>
        </w:rPr>
        <w:t>Consiliul raional,</w:t>
      </w:r>
    </w:p>
    <w:p w14:paraId="72340FCF" w14:textId="77777777" w:rsidR="007F2280" w:rsidRPr="007F2280" w:rsidRDefault="007F2280" w:rsidP="007F2280">
      <w:pPr>
        <w:jc w:val="center"/>
        <w:rPr>
          <w:b/>
          <w:bCs/>
          <w:lang w:val="ro-RO"/>
        </w:rPr>
      </w:pPr>
      <w:r w:rsidRPr="007F2280">
        <w:rPr>
          <w:b/>
          <w:bCs/>
          <w:lang w:val="ro-RO"/>
        </w:rPr>
        <w:t>DECIDE:</w:t>
      </w:r>
    </w:p>
    <w:p w14:paraId="524F6A50" w14:textId="77777777" w:rsidR="007F2280" w:rsidRPr="007F2280" w:rsidRDefault="007F2280" w:rsidP="007F2280">
      <w:pPr>
        <w:numPr>
          <w:ilvl w:val="0"/>
          <w:numId w:val="16"/>
        </w:numPr>
        <w:tabs>
          <w:tab w:val="left" w:pos="851"/>
        </w:tabs>
        <w:ind w:left="0" w:firstLine="567"/>
        <w:jc w:val="both"/>
        <w:rPr>
          <w:lang w:val="en-US"/>
        </w:rPr>
      </w:pPr>
      <w:r w:rsidRPr="007F2280">
        <w:rPr>
          <w:lang w:val="en-US"/>
        </w:rPr>
        <w:t>De acordat persoanelor care dețin funcții de demnitate publică în cadrul Consiliului raional:</w:t>
      </w:r>
    </w:p>
    <w:p w14:paraId="4BAE717A" w14:textId="77777777" w:rsidR="007F2280" w:rsidRPr="007F2280" w:rsidRDefault="007F2280" w:rsidP="007F2280">
      <w:pPr>
        <w:numPr>
          <w:ilvl w:val="1"/>
          <w:numId w:val="17"/>
        </w:numPr>
        <w:tabs>
          <w:tab w:val="left" w:pos="851"/>
          <w:tab w:val="left" w:pos="993"/>
        </w:tabs>
        <w:ind w:left="0" w:firstLine="567"/>
        <w:jc w:val="both"/>
        <w:rPr>
          <w:color w:val="000000" w:themeColor="text1"/>
          <w:lang w:val="en-US"/>
        </w:rPr>
      </w:pPr>
      <w:r w:rsidRPr="007F2280">
        <w:rPr>
          <w:color w:val="000000" w:themeColor="text1"/>
          <w:lang w:val="en-US"/>
        </w:rPr>
        <w:t>premiu anual pentru rezultatele activității desfășurate în anul 2024, proporțional timpului efectiv lucrat în anul respectiv</w:t>
      </w:r>
      <w:r w:rsidRPr="007F2280">
        <w:rPr>
          <w:lang w:val="en-US"/>
        </w:rPr>
        <w:t xml:space="preserve">, </w:t>
      </w:r>
      <w:r w:rsidRPr="007F2280">
        <w:rPr>
          <w:color w:val="000000" w:themeColor="text1"/>
          <w:lang w:val="en-US"/>
        </w:rPr>
        <w:t>conform anexei nr. 1;</w:t>
      </w:r>
    </w:p>
    <w:p w14:paraId="7E443D2B" w14:textId="77777777" w:rsidR="007F2280" w:rsidRPr="007F2280" w:rsidRDefault="007F2280" w:rsidP="007F2280">
      <w:pPr>
        <w:numPr>
          <w:ilvl w:val="1"/>
          <w:numId w:val="17"/>
        </w:numPr>
        <w:tabs>
          <w:tab w:val="left" w:pos="851"/>
        </w:tabs>
        <w:ind w:left="993" w:hanging="426"/>
        <w:jc w:val="both"/>
        <w:rPr>
          <w:lang w:val="en-US"/>
        </w:rPr>
      </w:pPr>
      <w:r w:rsidRPr="007F2280">
        <w:rPr>
          <w:lang w:val="en-US"/>
        </w:rPr>
        <w:t>ajutor material în mărime de un salariu de bază.</w:t>
      </w:r>
    </w:p>
    <w:p w14:paraId="1AEB9163" w14:textId="77777777" w:rsidR="007F2280" w:rsidRPr="007F2280" w:rsidRDefault="007F2280" w:rsidP="007F2280">
      <w:pPr>
        <w:numPr>
          <w:ilvl w:val="0"/>
          <w:numId w:val="16"/>
        </w:numPr>
        <w:tabs>
          <w:tab w:val="left" w:pos="0"/>
          <w:tab w:val="left" w:pos="851"/>
          <w:tab w:val="left" w:pos="993"/>
        </w:tabs>
        <w:ind w:left="0" w:firstLine="567"/>
        <w:contextualSpacing/>
        <w:jc w:val="both"/>
        <w:rPr>
          <w:lang w:val="ro-RO"/>
        </w:rPr>
      </w:pPr>
      <w:r w:rsidRPr="007F2280">
        <w:rPr>
          <w:lang w:val="en-US"/>
        </w:rPr>
        <w:t>Serviciul Financiar din cadrul Aparatul Preşedintelui raionului se desemnează responsabil de executarea prevederilor pct. 1 al prezentei decizii.</w:t>
      </w:r>
      <w:r w:rsidRPr="007F2280">
        <w:rPr>
          <w:lang w:val="ro-RO"/>
        </w:rPr>
        <w:t xml:space="preserve"> </w:t>
      </w:r>
    </w:p>
    <w:p w14:paraId="5A3532B1" w14:textId="77777777" w:rsidR="007F2280" w:rsidRPr="007F2280" w:rsidRDefault="007F2280" w:rsidP="007F2280">
      <w:pPr>
        <w:numPr>
          <w:ilvl w:val="0"/>
          <w:numId w:val="16"/>
        </w:numPr>
        <w:tabs>
          <w:tab w:val="left" w:pos="0"/>
          <w:tab w:val="left" w:pos="851"/>
          <w:tab w:val="left" w:pos="993"/>
        </w:tabs>
        <w:ind w:left="0" w:firstLine="567"/>
        <w:contextualSpacing/>
        <w:jc w:val="both"/>
        <w:rPr>
          <w:lang w:val="ro-RO"/>
        </w:rPr>
      </w:pPr>
      <w:r w:rsidRPr="007F2280">
        <w:rPr>
          <w:lang w:val="ro-RO"/>
        </w:rPr>
        <w:t xml:space="preserve">Controlul  asupra realizări deciziei în cauză se pune în sarcina Comisiei consultative  </w:t>
      </w:r>
      <w:r w:rsidRPr="007F2280">
        <w:rPr>
          <w:lang w:val="en-US"/>
        </w:rPr>
        <w:t>pentru Economie, Finanţe şi Buget</w:t>
      </w:r>
      <w:r w:rsidRPr="007F2280">
        <w:rPr>
          <w:lang w:val="ro-RO"/>
        </w:rPr>
        <w:t xml:space="preserve"> (dl N. POSTORONCĂ).</w:t>
      </w:r>
    </w:p>
    <w:p w14:paraId="45E6A530" w14:textId="77777777" w:rsidR="007F2280" w:rsidRPr="007F2280" w:rsidRDefault="007F2280" w:rsidP="007F2280">
      <w:pPr>
        <w:numPr>
          <w:ilvl w:val="0"/>
          <w:numId w:val="16"/>
        </w:numPr>
        <w:tabs>
          <w:tab w:val="left" w:pos="0"/>
          <w:tab w:val="left" w:pos="851"/>
          <w:tab w:val="left" w:pos="993"/>
        </w:tabs>
        <w:ind w:left="0" w:firstLine="567"/>
        <w:contextualSpacing/>
        <w:jc w:val="both"/>
        <w:rPr>
          <w:lang w:val="ro-RO"/>
        </w:rPr>
      </w:pPr>
      <w:r w:rsidRPr="007F2280">
        <w:rPr>
          <w:rFonts w:eastAsia="Calibri"/>
          <w:bCs/>
          <w:lang w:val="ro-RO" w:eastAsia="en-US"/>
        </w:rPr>
        <w:t>Prezenta decizie poate fi contestată la Judecătoria Bălți (sediul Central, str. Hotinului, nr. 43) în termen de 30 zile de la data comunicării, potrivit prevederilor Codului Administrativ al Republicii Moldova nr. 116/2018.</w:t>
      </w:r>
    </w:p>
    <w:p w14:paraId="42AB9701" w14:textId="77777777" w:rsidR="00281856" w:rsidRPr="001A582F" w:rsidRDefault="00281856" w:rsidP="009A14D2">
      <w:pPr>
        <w:jc w:val="both"/>
        <w:rPr>
          <w:rFonts w:eastAsia="Calibri"/>
          <w:b/>
          <w:sz w:val="16"/>
          <w:lang w:val="ro-RO"/>
        </w:rPr>
      </w:pPr>
    </w:p>
    <w:p w14:paraId="026F464D" w14:textId="77777777" w:rsidR="007F2280" w:rsidRDefault="007F2280" w:rsidP="00CE1234">
      <w:pPr>
        <w:jc w:val="both"/>
        <w:rPr>
          <w:rFonts w:eastAsia="Calibri"/>
          <w:b/>
          <w:lang w:val="it-IT"/>
        </w:rPr>
      </w:pPr>
    </w:p>
    <w:p w14:paraId="01E8A190" w14:textId="77777777" w:rsidR="007F2280" w:rsidRDefault="007F2280" w:rsidP="00CE1234">
      <w:pPr>
        <w:jc w:val="both"/>
        <w:rPr>
          <w:rFonts w:eastAsia="Calibri"/>
          <w:b/>
          <w:lang w:val="it-IT"/>
        </w:rPr>
      </w:pPr>
    </w:p>
    <w:p w14:paraId="530F7475" w14:textId="5C3F14C9"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2F4DC0">
        <w:rPr>
          <w:rFonts w:eastAsia="Calibri"/>
          <w:b/>
          <w:lang w:val="it-IT"/>
        </w:rPr>
        <w:t>Oleg ROTARU</w:t>
      </w:r>
    </w:p>
    <w:p w14:paraId="6125E1CA" w14:textId="77777777" w:rsidR="00E4622F" w:rsidRPr="001A582F" w:rsidRDefault="00E4622F" w:rsidP="00CE1234">
      <w:pPr>
        <w:tabs>
          <w:tab w:val="left" w:pos="1860"/>
        </w:tabs>
        <w:jc w:val="both"/>
        <w:rPr>
          <w:rFonts w:eastAsia="Calibri"/>
          <w:b/>
          <w:sz w:val="16"/>
          <w:lang w:val="it-IT"/>
        </w:rPr>
      </w:pPr>
    </w:p>
    <w:p w14:paraId="0421FB35" w14:textId="77777777" w:rsidR="007971CD" w:rsidRDefault="007971C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6C826520" w:rsidR="000B0F02"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Pr>
          <w:rFonts w:eastAsia="Calibri"/>
          <w:b/>
          <w:lang w:val="it-IT"/>
        </w:rPr>
        <w:t xml:space="preserve">                       Angela MIHALIUC</w:t>
      </w:r>
    </w:p>
    <w:p w14:paraId="18618FA2" w14:textId="77777777" w:rsidR="001A582F" w:rsidRDefault="001A582F" w:rsidP="001A582F">
      <w:pPr>
        <w:tabs>
          <w:tab w:val="left" w:pos="1860"/>
        </w:tabs>
        <w:jc w:val="both"/>
        <w:rPr>
          <w:rFonts w:eastAsia="Calibri"/>
          <w:b/>
          <w:i/>
          <w:sz w:val="16"/>
          <w:lang w:val="it-IT"/>
        </w:rPr>
      </w:pPr>
    </w:p>
    <w:p w14:paraId="60F51F8A" w14:textId="77777777" w:rsidR="007F2280" w:rsidRDefault="007F2280" w:rsidP="001A582F">
      <w:pPr>
        <w:tabs>
          <w:tab w:val="left" w:pos="1860"/>
        </w:tabs>
        <w:jc w:val="both"/>
        <w:rPr>
          <w:rFonts w:eastAsia="Calibri"/>
          <w:b/>
          <w:i/>
          <w:sz w:val="16"/>
          <w:lang w:val="it-IT"/>
        </w:rPr>
      </w:pPr>
    </w:p>
    <w:p w14:paraId="36C7E99E" w14:textId="77777777" w:rsidR="007F2280" w:rsidRDefault="007F2280" w:rsidP="001A582F">
      <w:pPr>
        <w:tabs>
          <w:tab w:val="left" w:pos="1860"/>
        </w:tabs>
        <w:jc w:val="both"/>
        <w:rPr>
          <w:rFonts w:eastAsia="Calibri"/>
          <w:b/>
          <w:i/>
          <w:sz w:val="16"/>
          <w:lang w:val="it-IT"/>
        </w:rPr>
      </w:pPr>
    </w:p>
    <w:p w14:paraId="68FFEED0" w14:textId="77777777" w:rsidR="00AE5674" w:rsidRDefault="00AE5674" w:rsidP="00AE5674">
      <w:pPr>
        <w:rPr>
          <w:b/>
          <w:i/>
          <w:lang w:val="en-US"/>
        </w:rPr>
      </w:pPr>
      <w:r>
        <w:rPr>
          <w:b/>
          <w:i/>
          <w:lang w:val="en-US"/>
        </w:rPr>
        <w:t xml:space="preserve">Conform originalului </w:t>
      </w:r>
    </w:p>
    <w:p w14:paraId="3D799FD1" w14:textId="77777777" w:rsidR="00AE5674" w:rsidRDefault="00AE5674" w:rsidP="00AE5674">
      <w:pPr>
        <w:rPr>
          <w:rFonts w:eastAsia="Calibri"/>
          <w:b/>
          <w:i/>
          <w:sz w:val="16"/>
          <w:lang w:val="en-US"/>
        </w:rPr>
      </w:pPr>
      <w:r>
        <w:rPr>
          <w:b/>
          <w:lang w:val="en-US"/>
        </w:rPr>
        <w:t>Secretară interimară a Consiliului raional</w:t>
      </w:r>
      <w:r>
        <w:rPr>
          <w:b/>
          <w:lang w:val="en-US"/>
        </w:rPr>
        <w:tab/>
        <w:t xml:space="preserve">                                           Angela MIHALIUC</w:t>
      </w:r>
    </w:p>
    <w:p w14:paraId="2E5A2F3C" w14:textId="77777777" w:rsidR="007F2280" w:rsidRPr="00AE5674" w:rsidRDefault="007F2280" w:rsidP="001A582F">
      <w:pPr>
        <w:tabs>
          <w:tab w:val="left" w:pos="1860"/>
        </w:tabs>
        <w:jc w:val="both"/>
        <w:rPr>
          <w:rFonts w:eastAsia="Calibri"/>
          <w:b/>
          <w:i/>
          <w:sz w:val="16"/>
          <w:lang w:val="en-US"/>
        </w:rPr>
      </w:pPr>
    </w:p>
    <w:p w14:paraId="54D2ECA8" w14:textId="77777777" w:rsidR="007F2280" w:rsidRDefault="007F2280" w:rsidP="001A582F">
      <w:pPr>
        <w:tabs>
          <w:tab w:val="left" w:pos="1860"/>
        </w:tabs>
        <w:jc w:val="both"/>
        <w:rPr>
          <w:rFonts w:eastAsia="Calibri"/>
          <w:b/>
          <w:i/>
          <w:sz w:val="16"/>
          <w:lang w:val="it-IT"/>
        </w:rPr>
      </w:pPr>
    </w:p>
    <w:p w14:paraId="3ACDDD65" w14:textId="77777777" w:rsidR="007F2280" w:rsidRDefault="007F2280" w:rsidP="001A582F">
      <w:pPr>
        <w:tabs>
          <w:tab w:val="left" w:pos="1860"/>
        </w:tabs>
        <w:jc w:val="both"/>
        <w:rPr>
          <w:rFonts w:eastAsia="Calibri"/>
          <w:b/>
          <w:i/>
          <w:sz w:val="16"/>
          <w:lang w:val="it-IT"/>
        </w:rPr>
      </w:pPr>
    </w:p>
    <w:p w14:paraId="06B348E8" w14:textId="77777777" w:rsidR="007F2280" w:rsidRDefault="007F2280" w:rsidP="001A582F">
      <w:pPr>
        <w:tabs>
          <w:tab w:val="left" w:pos="1860"/>
        </w:tabs>
        <w:jc w:val="both"/>
        <w:rPr>
          <w:rFonts w:eastAsia="Calibri"/>
          <w:b/>
          <w:i/>
          <w:sz w:val="16"/>
          <w:lang w:val="it-IT"/>
        </w:rPr>
      </w:pPr>
    </w:p>
    <w:p w14:paraId="27009E43" w14:textId="77777777" w:rsidR="007F2280" w:rsidRDefault="007F2280" w:rsidP="001A582F">
      <w:pPr>
        <w:tabs>
          <w:tab w:val="left" w:pos="1860"/>
        </w:tabs>
        <w:jc w:val="both"/>
        <w:rPr>
          <w:rFonts w:eastAsia="Calibri"/>
          <w:b/>
          <w:i/>
          <w:sz w:val="16"/>
          <w:lang w:val="it-IT"/>
        </w:rPr>
      </w:pPr>
    </w:p>
    <w:p w14:paraId="5DC429BC" w14:textId="77777777" w:rsidR="007F2280" w:rsidRDefault="007F2280" w:rsidP="001A582F">
      <w:pPr>
        <w:tabs>
          <w:tab w:val="left" w:pos="1860"/>
        </w:tabs>
        <w:jc w:val="both"/>
        <w:rPr>
          <w:rFonts w:eastAsia="Calibri"/>
          <w:b/>
          <w:i/>
          <w:sz w:val="16"/>
          <w:lang w:val="it-IT"/>
        </w:rPr>
      </w:pPr>
    </w:p>
    <w:p w14:paraId="4981F061" w14:textId="77777777" w:rsidR="007F2280" w:rsidRDefault="007F2280" w:rsidP="001A582F">
      <w:pPr>
        <w:tabs>
          <w:tab w:val="left" w:pos="1860"/>
        </w:tabs>
        <w:jc w:val="both"/>
        <w:rPr>
          <w:rFonts w:eastAsia="Calibri"/>
          <w:b/>
          <w:i/>
          <w:sz w:val="16"/>
          <w:lang w:val="it-IT"/>
        </w:rPr>
      </w:pPr>
    </w:p>
    <w:p w14:paraId="18EFA656" w14:textId="77777777" w:rsidR="007F2280" w:rsidRDefault="007F2280" w:rsidP="001A582F">
      <w:pPr>
        <w:tabs>
          <w:tab w:val="left" w:pos="1860"/>
        </w:tabs>
        <w:jc w:val="both"/>
        <w:rPr>
          <w:rFonts w:eastAsia="Calibri"/>
          <w:b/>
          <w:i/>
          <w:sz w:val="16"/>
          <w:lang w:val="it-IT"/>
        </w:rPr>
      </w:pPr>
    </w:p>
    <w:p w14:paraId="3CCCF6B4" w14:textId="77777777" w:rsidR="007F2280" w:rsidRDefault="007F2280" w:rsidP="001A582F">
      <w:pPr>
        <w:tabs>
          <w:tab w:val="left" w:pos="1860"/>
        </w:tabs>
        <w:jc w:val="both"/>
        <w:rPr>
          <w:rFonts w:eastAsia="Calibri"/>
          <w:b/>
          <w:i/>
          <w:sz w:val="16"/>
          <w:lang w:val="it-IT"/>
        </w:rPr>
      </w:pPr>
    </w:p>
    <w:p w14:paraId="1E21197B" w14:textId="77777777" w:rsidR="007F2280" w:rsidRDefault="007F2280" w:rsidP="001A582F">
      <w:pPr>
        <w:tabs>
          <w:tab w:val="left" w:pos="1860"/>
        </w:tabs>
        <w:jc w:val="both"/>
        <w:rPr>
          <w:rFonts w:eastAsia="Calibri"/>
          <w:b/>
          <w:i/>
          <w:sz w:val="16"/>
          <w:lang w:val="it-IT"/>
        </w:rPr>
      </w:pPr>
    </w:p>
    <w:p w14:paraId="76DB3F19" w14:textId="77777777" w:rsidR="007F2280" w:rsidRDefault="007F2280" w:rsidP="001A582F">
      <w:pPr>
        <w:tabs>
          <w:tab w:val="left" w:pos="1860"/>
        </w:tabs>
        <w:jc w:val="both"/>
        <w:rPr>
          <w:rFonts w:eastAsia="Calibri"/>
          <w:b/>
          <w:i/>
          <w:sz w:val="16"/>
          <w:lang w:val="it-IT"/>
        </w:rPr>
      </w:pPr>
    </w:p>
    <w:p w14:paraId="671FD889" w14:textId="77777777" w:rsidR="007F2280" w:rsidRPr="008F69EF" w:rsidRDefault="007F2280" w:rsidP="007F2280">
      <w:pPr>
        <w:tabs>
          <w:tab w:val="left" w:pos="3416"/>
        </w:tabs>
        <w:jc w:val="right"/>
        <w:rPr>
          <w:rFonts w:eastAsiaTheme="minorHAnsi"/>
          <w:b/>
          <w:sz w:val="22"/>
          <w:szCs w:val="22"/>
          <w:lang w:val="ro-RO" w:eastAsia="en-US"/>
        </w:rPr>
      </w:pPr>
      <w:r w:rsidRPr="008F69EF">
        <w:rPr>
          <w:rFonts w:eastAsiaTheme="minorHAnsi"/>
          <w:b/>
          <w:sz w:val="22"/>
          <w:szCs w:val="22"/>
          <w:lang w:val="ro-RO" w:eastAsia="en-US"/>
        </w:rPr>
        <w:t>Anexa nr. 1</w:t>
      </w:r>
    </w:p>
    <w:p w14:paraId="4BC2FE79" w14:textId="1DF242BC" w:rsidR="007F2280" w:rsidRPr="008F69EF" w:rsidRDefault="007F2280" w:rsidP="007F2280">
      <w:pPr>
        <w:tabs>
          <w:tab w:val="left" w:pos="3416"/>
        </w:tabs>
        <w:jc w:val="right"/>
        <w:rPr>
          <w:rFonts w:eastAsiaTheme="minorHAnsi"/>
          <w:b/>
          <w:sz w:val="22"/>
          <w:szCs w:val="22"/>
          <w:lang w:val="ro-RO" w:eastAsia="en-US"/>
        </w:rPr>
      </w:pPr>
      <w:r w:rsidRPr="008F69EF">
        <w:rPr>
          <w:rFonts w:eastAsiaTheme="minorHAnsi"/>
          <w:b/>
          <w:sz w:val="22"/>
          <w:szCs w:val="22"/>
          <w:lang w:val="ro-RO" w:eastAsia="en-US"/>
        </w:rPr>
        <w:t>La Dispoziția nr._</w:t>
      </w:r>
      <w:r>
        <w:rPr>
          <w:rFonts w:eastAsiaTheme="minorHAnsi"/>
          <w:b/>
          <w:sz w:val="22"/>
          <w:szCs w:val="22"/>
          <w:u w:val="single"/>
          <w:lang w:val="ro-RO" w:eastAsia="en-US"/>
        </w:rPr>
        <w:t>8/20</w:t>
      </w:r>
    </w:p>
    <w:tbl>
      <w:tblPr>
        <w:tblStyle w:val="a9"/>
        <w:tblpPr w:leftFromText="180" w:rightFromText="180" w:vertAnchor="text" w:horzAnchor="margin" w:tblpXSpec="center" w:tblpY="1158"/>
        <w:tblW w:w="10347" w:type="dxa"/>
        <w:tblLook w:val="04A0" w:firstRow="1" w:lastRow="0" w:firstColumn="1" w:lastColumn="0" w:noHBand="0" w:noVBand="1"/>
      </w:tblPr>
      <w:tblGrid>
        <w:gridCol w:w="672"/>
        <w:gridCol w:w="2189"/>
        <w:gridCol w:w="2146"/>
        <w:gridCol w:w="1440"/>
        <w:gridCol w:w="1344"/>
        <w:gridCol w:w="1216"/>
        <w:gridCol w:w="1340"/>
      </w:tblGrid>
      <w:tr w:rsidR="007F2280" w:rsidRPr="00BC3EFE" w14:paraId="7A8B91BB" w14:textId="77777777" w:rsidTr="007F2280">
        <w:trPr>
          <w:trHeight w:val="1123"/>
        </w:trPr>
        <w:tc>
          <w:tcPr>
            <w:tcW w:w="672" w:type="dxa"/>
          </w:tcPr>
          <w:p w14:paraId="12A947B8" w14:textId="77777777" w:rsidR="007F2280" w:rsidRPr="008F69EF" w:rsidRDefault="007F2280" w:rsidP="007F2280">
            <w:pPr>
              <w:tabs>
                <w:tab w:val="left" w:pos="3416"/>
              </w:tabs>
              <w:spacing w:line="259" w:lineRule="auto"/>
              <w:jc w:val="center"/>
              <w:rPr>
                <w:rFonts w:eastAsiaTheme="minorHAnsi"/>
                <w:b/>
                <w:lang w:val="ro-RO" w:eastAsia="en-US"/>
              </w:rPr>
            </w:pPr>
            <w:r w:rsidRPr="008F69EF">
              <w:rPr>
                <w:rFonts w:eastAsiaTheme="minorHAnsi"/>
                <w:b/>
                <w:lang w:val="ro-RO" w:eastAsia="en-US"/>
              </w:rPr>
              <w:t>Nr. d/o</w:t>
            </w:r>
          </w:p>
        </w:tc>
        <w:tc>
          <w:tcPr>
            <w:tcW w:w="2189" w:type="dxa"/>
          </w:tcPr>
          <w:p w14:paraId="03311692" w14:textId="77777777" w:rsidR="007F2280" w:rsidRPr="008F69EF" w:rsidRDefault="007F2280" w:rsidP="007F2280">
            <w:pPr>
              <w:tabs>
                <w:tab w:val="left" w:pos="3416"/>
              </w:tabs>
              <w:spacing w:line="259" w:lineRule="auto"/>
              <w:jc w:val="center"/>
              <w:rPr>
                <w:rFonts w:eastAsiaTheme="minorHAnsi"/>
                <w:b/>
                <w:lang w:val="ro-RO" w:eastAsia="en-US"/>
              </w:rPr>
            </w:pPr>
            <w:r w:rsidRPr="008F69EF">
              <w:rPr>
                <w:rFonts w:eastAsiaTheme="minorHAnsi"/>
                <w:b/>
                <w:lang w:val="ro-RO" w:eastAsia="en-US"/>
              </w:rPr>
              <w:t>Nume, Prenume</w:t>
            </w:r>
          </w:p>
        </w:tc>
        <w:tc>
          <w:tcPr>
            <w:tcW w:w="2146" w:type="dxa"/>
          </w:tcPr>
          <w:p w14:paraId="0D3B7F69" w14:textId="77777777" w:rsidR="007F2280" w:rsidRPr="008F69EF" w:rsidRDefault="007F2280" w:rsidP="007F2280">
            <w:pPr>
              <w:tabs>
                <w:tab w:val="left" w:pos="3416"/>
              </w:tabs>
              <w:spacing w:line="259" w:lineRule="auto"/>
              <w:jc w:val="center"/>
              <w:rPr>
                <w:rFonts w:eastAsiaTheme="minorHAnsi"/>
                <w:b/>
                <w:lang w:val="ro-RO" w:eastAsia="en-US"/>
              </w:rPr>
            </w:pPr>
            <w:r w:rsidRPr="008F69EF">
              <w:rPr>
                <w:rFonts w:eastAsiaTheme="minorHAnsi"/>
                <w:b/>
                <w:lang w:val="ro-RO" w:eastAsia="en-US"/>
              </w:rPr>
              <w:t>Funcția deținută</w:t>
            </w:r>
          </w:p>
        </w:tc>
        <w:tc>
          <w:tcPr>
            <w:tcW w:w="1440" w:type="dxa"/>
          </w:tcPr>
          <w:p w14:paraId="3E93A49B" w14:textId="77777777" w:rsidR="007F2280" w:rsidRPr="008F69EF" w:rsidRDefault="007F2280" w:rsidP="007F2280">
            <w:pPr>
              <w:tabs>
                <w:tab w:val="left" w:pos="3416"/>
              </w:tabs>
              <w:spacing w:line="259" w:lineRule="auto"/>
              <w:jc w:val="center"/>
              <w:rPr>
                <w:rFonts w:eastAsiaTheme="minorHAnsi"/>
                <w:b/>
                <w:lang w:val="ro-RO" w:eastAsia="en-US"/>
              </w:rPr>
            </w:pPr>
            <w:r w:rsidRPr="008F69EF">
              <w:rPr>
                <w:rFonts w:eastAsiaTheme="minorHAnsi"/>
                <w:b/>
                <w:lang w:val="ro-RO" w:eastAsia="en-US"/>
              </w:rPr>
              <w:t>Salariu de bază stabilit, lei</w:t>
            </w:r>
          </w:p>
        </w:tc>
        <w:tc>
          <w:tcPr>
            <w:tcW w:w="1344" w:type="dxa"/>
          </w:tcPr>
          <w:p w14:paraId="411EA764" w14:textId="77777777" w:rsidR="007F2280" w:rsidRPr="008F69EF" w:rsidRDefault="007F2280" w:rsidP="007F2280">
            <w:pPr>
              <w:tabs>
                <w:tab w:val="left" w:pos="3416"/>
              </w:tabs>
              <w:spacing w:line="259" w:lineRule="auto"/>
              <w:jc w:val="center"/>
              <w:rPr>
                <w:rFonts w:eastAsiaTheme="minorHAnsi"/>
                <w:b/>
                <w:lang w:val="en-US" w:eastAsia="en-US"/>
              </w:rPr>
            </w:pPr>
            <w:r w:rsidRPr="008F69EF">
              <w:rPr>
                <w:rFonts w:eastAsiaTheme="minorHAnsi"/>
                <w:b/>
                <w:color w:val="000000" w:themeColor="text1"/>
                <w:lang w:val="en-US" w:eastAsia="en-US"/>
              </w:rPr>
              <w:t>Zilele efectiv lucrate în anul 2024</w:t>
            </w:r>
          </w:p>
        </w:tc>
        <w:tc>
          <w:tcPr>
            <w:tcW w:w="1216" w:type="dxa"/>
          </w:tcPr>
          <w:p w14:paraId="500870C2" w14:textId="77777777" w:rsidR="007F2280" w:rsidRPr="008F69EF" w:rsidRDefault="007F2280" w:rsidP="007F2280">
            <w:pPr>
              <w:tabs>
                <w:tab w:val="left" w:pos="3416"/>
              </w:tabs>
              <w:spacing w:line="259" w:lineRule="auto"/>
              <w:jc w:val="center"/>
              <w:rPr>
                <w:rFonts w:eastAsiaTheme="minorHAnsi"/>
                <w:b/>
                <w:lang w:val="en-US" w:eastAsia="en-US"/>
              </w:rPr>
            </w:pPr>
            <w:r w:rsidRPr="008F69EF">
              <w:rPr>
                <w:rFonts w:eastAsiaTheme="minorHAnsi"/>
                <w:b/>
                <w:lang w:val="en-US" w:eastAsia="en-US"/>
              </w:rPr>
              <w:t>Procentul</w:t>
            </w:r>
          </w:p>
          <w:p w14:paraId="6EDA9C9D" w14:textId="77777777" w:rsidR="007F2280" w:rsidRPr="008F69EF" w:rsidRDefault="007F2280" w:rsidP="007F2280">
            <w:pPr>
              <w:tabs>
                <w:tab w:val="left" w:pos="3416"/>
              </w:tabs>
              <w:spacing w:line="259" w:lineRule="auto"/>
              <w:jc w:val="center"/>
              <w:rPr>
                <w:rFonts w:eastAsiaTheme="minorHAnsi"/>
                <w:b/>
                <w:lang w:val="en-US" w:eastAsia="en-US"/>
              </w:rPr>
            </w:pPr>
            <w:r w:rsidRPr="008F69EF">
              <w:rPr>
                <w:rFonts w:eastAsiaTheme="minorHAnsi"/>
                <w:b/>
                <w:lang w:val="en-US" w:eastAsia="en-US"/>
              </w:rPr>
              <w:t>acordat</w:t>
            </w:r>
          </w:p>
          <w:p w14:paraId="53B72094" w14:textId="77777777" w:rsidR="007F2280" w:rsidRPr="008F69EF" w:rsidRDefault="007F2280" w:rsidP="007F2280">
            <w:pPr>
              <w:tabs>
                <w:tab w:val="left" w:pos="3416"/>
              </w:tabs>
              <w:spacing w:line="259" w:lineRule="auto"/>
              <w:jc w:val="center"/>
              <w:rPr>
                <w:rFonts w:eastAsiaTheme="minorHAnsi"/>
                <w:b/>
                <w:lang w:val="en-US" w:eastAsia="en-US"/>
              </w:rPr>
            </w:pPr>
            <w:r w:rsidRPr="008F69EF">
              <w:rPr>
                <w:rFonts w:eastAsiaTheme="minorHAnsi"/>
                <w:b/>
                <w:lang w:val="ro-RO" w:eastAsia="en-US"/>
              </w:rPr>
              <w:t>%</w:t>
            </w:r>
          </w:p>
        </w:tc>
        <w:tc>
          <w:tcPr>
            <w:tcW w:w="1340" w:type="dxa"/>
          </w:tcPr>
          <w:p w14:paraId="3369BD2F" w14:textId="77777777" w:rsidR="007F2280" w:rsidRPr="008F69EF" w:rsidRDefault="007F2280" w:rsidP="007F2280">
            <w:pPr>
              <w:tabs>
                <w:tab w:val="left" w:pos="3416"/>
              </w:tabs>
              <w:spacing w:line="259" w:lineRule="auto"/>
              <w:jc w:val="center"/>
              <w:rPr>
                <w:rFonts w:eastAsiaTheme="minorHAnsi"/>
                <w:b/>
                <w:lang w:val="en-US" w:eastAsia="en-US"/>
              </w:rPr>
            </w:pPr>
            <w:r w:rsidRPr="008F69EF">
              <w:rPr>
                <w:rFonts w:eastAsiaTheme="minorHAnsi"/>
                <w:b/>
                <w:lang w:val="en-US" w:eastAsia="en-US"/>
              </w:rPr>
              <w:t>Mărimea premiului calculate acordat, lei</w:t>
            </w:r>
          </w:p>
        </w:tc>
      </w:tr>
      <w:tr w:rsidR="007F2280" w:rsidRPr="008F69EF" w14:paraId="3A18EB75" w14:textId="77777777" w:rsidTr="007F2280">
        <w:trPr>
          <w:trHeight w:val="20"/>
        </w:trPr>
        <w:tc>
          <w:tcPr>
            <w:tcW w:w="672" w:type="dxa"/>
            <w:tcBorders>
              <w:bottom w:val="single" w:sz="4" w:space="0" w:color="auto"/>
            </w:tcBorders>
          </w:tcPr>
          <w:p w14:paraId="5762B515" w14:textId="77777777" w:rsidR="007F2280" w:rsidRPr="008F69EF" w:rsidRDefault="007F2280" w:rsidP="007F2280">
            <w:pPr>
              <w:numPr>
                <w:ilvl w:val="0"/>
                <w:numId w:val="18"/>
              </w:numPr>
              <w:tabs>
                <w:tab w:val="left" w:pos="3416"/>
              </w:tabs>
              <w:spacing w:after="160" w:line="259" w:lineRule="auto"/>
              <w:contextualSpacing/>
              <w:jc w:val="center"/>
              <w:rPr>
                <w:rFonts w:eastAsiaTheme="minorHAnsi"/>
                <w:lang w:val="ro-RO" w:eastAsia="en-US"/>
              </w:rPr>
            </w:pPr>
          </w:p>
        </w:tc>
        <w:tc>
          <w:tcPr>
            <w:tcW w:w="2189" w:type="dxa"/>
            <w:tcBorders>
              <w:bottom w:val="single" w:sz="4" w:space="0" w:color="auto"/>
            </w:tcBorders>
          </w:tcPr>
          <w:p w14:paraId="00C9D41A" w14:textId="77777777" w:rsidR="007F2280" w:rsidRPr="008F69EF" w:rsidRDefault="007F2280" w:rsidP="007F2280">
            <w:pPr>
              <w:tabs>
                <w:tab w:val="left" w:pos="3416"/>
              </w:tabs>
              <w:spacing w:line="259" w:lineRule="auto"/>
              <w:rPr>
                <w:rFonts w:eastAsiaTheme="minorHAnsi"/>
                <w:lang w:val="ro-RO" w:eastAsia="en-US"/>
              </w:rPr>
            </w:pPr>
            <w:r>
              <w:rPr>
                <w:rFonts w:eastAsiaTheme="minorHAnsi"/>
                <w:lang w:val="ro-RO" w:eastAsia="en-US"/>
              </w:rPr>
              <w:t>Cristian CAINARIAN</w:t>
            </w:r>
          </w:p>
        </w:tc>
        <w:tc>
          <w:tcPr>
            <w:tcW w:w="2146" w:type="dxa"/>
            <w:tcBorders>
              <w:bottom w:val="single" w:sz="4" w:space="0" w:color="auto"/>
            </w:tcBorders>
          </w:tcPr>
          <w:p w14:paraId="59DAAB62" w14:textId="77777777" w:rsidR="007F2280" w:rsidRPr="008F69EF" w:rsidRDefault="007F2280" w:rsidP="007F2280">
            <w:pPr>
              <w:tabs>
                <w:tab w:val="left" w:pos="3416"/>
              </w:tabs>
              <w:spacing w:line="259" w:lineRule="auto"/>
              <w:rPr>
                <w:rFonts w:eastAsiaTheme="minorHAnsi"/>
                <w:lang w:val="ro-RO" w:eastAsia="en-US"/>
              </w:rPr>
            </w:pPr>
            <w:r>
              <w:rPr>
                <w:rFonts w:eastAsiaTheme="minorHAnsi"/>
                <w:lang w:val="ro-RO" w:eastAsia="en-US"/>
              </w:rPr>
              <w:t>Președintele raionului</w:t>
            </w:r>
          </w:p>
        </w:tc>
        <w:tc>
          <w:tcPr>
            <w:tcW w:w="1440" w:type="dxa"/>
            <w:tcBorders>
              <w:bottom w:val="single" w:sz="4" w:space="0" w:color="auto"/>
            </w:tcBorders>
          </w:tcPr>
          <w:p w14:paraId="34EDA273" w14:textId="4F9A41FC" w:rsidR="007F2280" w:rsidRPr="008F69EF" w:rsidRDefault="007F2280" w:rsidP="007F2280">
            <w:pPr>
              <w:tabs>
                <w:tab w:val="left" w:pos="3416"/>
              </w:tabs>
              <w:spacing w:line="259" w:lineRule="auto"/>
              <w:jc w:val="center"/>
              <w:rPr>
                <w:rFonts w:eastAsiaTheme="minorHAnsi"/>
                <w:lang w:val="ro-RO" w:eastAsia="en-US"/>
              </w:rPr>
            </w:pPr>
            <w:bookmarkStart w:id="0" w:name="_GoBack"/>
            <w:bookmarkEnd w:id="0"/>
          </w:p>
        </w:tc>
        <w:tc>
          <w:tcPr>
            <w:tcW w:w="1344" w:type="dxa"/>
            <w:tcBorders>
              <w:bottom w:val="single" w:sz="4" w:space="0" w:color="auto"/>
            </w:tcBorders>
          </w:tcPr>
          <w:p w14:paraId="1B7DDE89" w14:textId="79766F56" w:rsidR="007F2280" w:rsidRPr="008F69EF" w:rsidRDefault="007F2280" w:rsidP="007F2280">
            <w:pPr>
              <w:tabs>
                <w:tab w:val="left" w:pos="3416"/>
              </w:tabs>
              <w:spacing w:line="259" w:lineRule="auto"/>
              <w:jc w:val="center"/>
              <w:rPr>
                <w:rFonts w:eastAsiaTheme="minorHAnsi"/>
                <w:lang w:val="ro-RO" w:eastAsia="en-US"/>
              </w:rPr>
            </w:pPr>
          </w:p>
        </w:tc>
        <w:tc>
          <w:tcPr>
            <w:tcW w:w="1216" w:type="dxa"/>
            <w:tcBorders>
              <w:bottom w:val="single" w:sz="4" w:space="0" w:color="auto"/>
            </w:tcBorders>
          </w:tcPr>
          <w:p w14:paraId="46CEEF8E" w14:textId="06B21904" w:rsidR="007F2280" w:rsidRPr="009F1A5E" w:rsidRDefault="007F2280" w:rsidP="007F2280">
            <w:pPr>
              <w:tabs>
                <w:tab w:val="left" w:pos="3416"/>
              </w:tabs>
              <w:spacing w:line="259" w:lineRule="auto"/>
              <w:jc w:val="center"/>
              <w:rPr>
                <w:rFonts w:eastAsiaTheme="minorHAnsi"/>
                <w:lang w:val="ro-RO" w:eastAsia="en-US"/>
              </w:rPr>
            </w:pPr>
          </w:p>
        </w:tc>
        <w:tc>
          <w:tcPr>
            <w:tcW w:w="1340" w:type="dxa"/>
            <w:tcBorders>
              <w:bottom w:val="single" w:sz="4" w:space="0" w:color="auto"/>
            </w:tcBorders>
          </w:tcPr>
          <w:p w14:paraId="0BC906DC" w14:textId="05897DF7" w:rsidR="007F2280" w:rsidRPr="008F69EF" w:rsidRDefault="007F2280" w:rsidP="007F2280">
            <w:pPr>
              <w:tabs>
                <w:tab w:val="left" w:pos="3416"/>
              </w:tabs>
              <w:spacing w:line="259" w:lineRule="auto"/>
              <w:jc w:val="center"/>
              <w:rPr>
                <w:rFonts w:eastAsiaTheme="minorHAnsi"/>
                <w:lang w:val="ro-RO" w:eastAsia="en-US"/>
              </w:rPr>
            </w:pPr>
          </w:p>
        </w:tc>
      </w:tr>
      <w:tr w:rsidR="007F2280" w:rsidRPr="008F69EF" w14:paraId="4D03E2D9" w14:textId="77777777" w:rsidTr="007F2280">
        <w:trPr>
          <w:trHeight w:val="20"/>
        </w:trPr>
        <w:tc>
          <w:tcPr>
            <w:tcW w:w="672" w:type="dxa"/>
          </w:tcPr>
          <w:p w14:paraId="690DB08F" w14:textId="77777777" w:rsidR="007F2280" w:rsidRPr="008F69EF" w:rsidRDefault="007F2280" w:rsidP="007F2280">
            <w:pPr>
              <w:numPr>
                <w:ilvl w:val="0"/>
                <w:numId w:val="18"/>
              </w:numPr>
              <w:tabs>
                <w:tab w:val="left" w:pos="3416"/>
              </w:tabs>
              <w:spacing w:after="160" w:line="259" w:lineRule="auto"/>
              <w:contextualSpacing/>
              <w:jc w:val="center"/>
              <w:rPr>
                <w:rFonts w:eastAsiaTheme="minorHAnsi"/>
                <w:lang w:val="ro-RO" w:eastAsia="en-US"/>
              </w:rPr>
            </w:pPr>
          </w:p>
        </w:tc>
        <w:tc>
          <w:tcPr>
            <w:tcW w:w="2189" w:type="dxa"/>
          </w:tcPr>
          <w:p w14:paraId="4D3B3B9C" w14:textId="77777777" w:rsidR="007F2280" w:rsidRPr="008F69EF" w:rsidRDefault="007F2280" w:rsidP="007F2280">
            <w:pPr>
              <w:tabs>
                <w:tab w:val="left" w:pos="3416"/>
              </w:tabs>
              <w:spacing w:line="259" w:lineRule="auto"/>
              <w:rPr>
                <w:rFonts w:eastAsiaTheme="minorHAnsi"/>
                <w:lang w:val="ro-RO" w:eastAsia="en-US"/>
              </w:rPr>
            </w:pPr>
            <w:r>
              <w:rPr>
                <w:rFonts w:eastAsiaTheme="minorHAnsi"/>
                <w:lang w:val="ro-RO" w:eastAsia="en-US"/>
              </w:rPr>
              <w:t>Ivan CEBOTARI</w:t>
            </w:r>
          </w:p>
        </w:tc>
        <w:tc>
          <w:tcPr>
            <w:tcW w:w="2146" w:type="dxa"/>
          </w:tcPr>
          <w:p w14:paraId="746AAB75" w14:textId="77777777" w:rsidR="007F2280" w:rsidRPr="008F69EF" w:rsidRDefault="007F2280" w:rsidP="007F2280">
            <w:pPr>
              <w:tabs>
                <w:tab w:val="left" w:pos="3416"/>
              </w:tabs>
              <w:spacing w:line="259" w:lineRule="auto"/>
              <w:rPr>
                <w:rFonts w:eastAsiaTheme="minorHAnsi"/>
                <w:lang w:val="ro-RO" w:eastAsia="en-US"/>
              </w:rPr>
            </w:pPr>
            <w:r>
              <w:rPr>
                <w:rFonts w:eastAsiaTheme="minorHAnsi"/>
                <w:lang w:val="ro-RO" w:eastAsia="en-US"/>
              </w:rPr>
              <w:t>Vicepreședintele raionului</w:t>
            </w:r>
          </w:p>
        </w:tc>
        <w:tc>
          <w:tcPr>
            <w:tcW w:w="1440" w:type="dxa"/>
          </w:tcPr>
          <w:p w14:paraId="3B4094E6" w14:textId="60707ECB" w:rsidR="007F2280" w:rsidRPr="008F69EF" w:rsidRDefault="007F2280" w:rsidP="007F2280">
            <w:pPr>
              <w:tabs>
                <w:tab w:val="left" w:pos="3416"/>
              </w:tabs>
              <w:spacing w:line="259" w:lineRule="auto"/>
              <w:jc w:val="center"/>
              <w:rPr>
                <w:rFonts w:eastAsiaTheme="minorHAnsi"/>
                <w:lang w:val="ro-RO" w:eastAsia="en-US"/>
              </w:rPr>
            </w:pPr>
          </w:p>
        </w:tc>
        <w:tc>
          <w:tcPr>
            <w:tcW w:w="1344" w:type="dxa"/>
          </w:tcPr>
          <w:p w14:paraId="379D1CE3" w14:textId="00DE04F3" w:rsidR="007F2280" w:rsidRPr="008F69EF" w:rsidRDefault="007F2280" w:rsidP="007F2280">
            <w:pPr>
              <w:tabs>
                <w:tab w:val="left" w:pos="3416"/>
              </w:tabs>
              <w:spacing w:line="259" w:lineRule="auto"/>
              <w:jc w:val="center"/>
              <w:rPr>
                <w:rFonts w:eastAsiaTheme="minorHAnsi"/>
                <w:lang w:val="ro-RO" w:eastAsia="en-US"/>
              </w:rPr>
            </w:pPr>
          </w:p>
        </w:tc>
        <w:tc>
          <w:tcPr>
            <w:tcW w:w="1216" w:type="dxa"/>
          </w:tcPr>
          <w:p w14:paraId="216A086F" w14:textId="5F88096A" w:rsidR="007F2280" w:rsidRPr="009F1A5E" w:rsidRDefault="007F2280" w:rsidP="007F2280">
            <w:pPr>
              <w:spacing w:line="259" w:lineRule="auto"/>
              <w:jc w:val="center"/>
              <w:rPr>
                <w:rFonts w:eastAsiaTheme="minorHAnsi"/>
                <w:lang w:val="en-US" w:eastAsia="en-US"/>
              </w:rPr>
            </w:pPr>
          </w:p>
        </w:tc>
        <w:tc>
          <w:tcPr>
            <w:tcW w:w="1340" w:type="dxa"/>
          </w:tcPr>
          <w:p w14:paraId="7BD2473D" w14:textId="6BE2313E" w:rsidR="007F2280" w:rsidRPr="008F69EF" w:rsidRDefault="007F2280" w:rsidP="007F2280">
            <w:pPr>
              <w:tabs>
                <w:tab w:val="left" w:pos="3416"/>
              </w:tabs>
              <w:spacing w:line="259" w:lineRule="auto"/>
              <w:jc w:val="center"/>
              <w:rPr>
                <w:rFonts w:eastAsiaTheme="minorHAnsi"/>
                <w:lang w:val="ro-RO" w:eastAsia="en-US"/>
              </w:rPr>
            </w:pPr>
          </w:p>
        </w:tc>
      </w:tr>
      <w:tr w:rsidR="007F2280" w:rsidRPr="008F69EF" w14:paraId="4535DDAD" w14:textId="77777777" w:rsidTr="007F2280">
        <w:trPr>
          <w:trHeight w:val="20"/>
        </w:trPr>
        <w:tc>
          <w:tcPr>
            <w:tcW w:w="672" w:type="dxa"/>
          </w:tcPr>
          <w:p w14:paraId="29228A0E" w14:textId="77777777" w:rsidR="007F2280" w:rsidRPr="008F69EF" w:rsidRDefault="007F2280" w:rsidP="007F2280">
            <w:pPr>
              <w:numPr>
                <w:ilvl w:val="0"/>
                <w:numId w:val="18"/>
              </w:numPr>
              <w:tabs>
                <w:tab w:val="left" w:pos="3416"/>
              </w:tabs>
              <w:spacing w:after="160" w:line="259" w:lineRule="auto"/>
              <w:contextualSpacing/>
              <w:jc w:val="center"/>
              <w:rPr>
                <w:rFonts w:eastAsiaTheme="minorHAnsi"/>
                <w:lang w:val="ro-RO" w:eastAsia="en-US"/>
              </w:rPr>
            </w:pPr>
          </w:p>
        </w:tc>
        <w:tc>
          <w:tcPr>
            <w:tcW w:w="2189" w:type="dxa"/>
          </w:tcPr>
          <w:p w14:paraId="2D171227" w14:textId="77777777" w:rsidR="007F2280" w:rsidRPr="008F69EF" w:rsidRDefault="007F2280" w:rsidP="007F2280">
            <w:pPr>
              <w:tabs>
                <w:tab w:val="left" w:pos="3416"/>
              </w:tabs>
              <w:spacing w:line="259" w:lineRule="auto"/>
              <w:rPr>
                <w:rFonts w:eastAsiaTheme="minorHAnsi"/>
                <w:lang w:val="ro-RO" w:eastAsia="en-US"/>
              </w:rPr>
            </w:pPr>
            <w:r>
              <w:rPr>
                <w:rFonts w:eastAsiaTheme="minorHAnsi"/>
                <w:lang w:val="ro-RO" w:eastAsia="en-US"/>
              </w:rPr>
              <w:t>Vera SERBUȘCA</w:t>
            </w:r>
          </w:p>
        </w:tc>
        <w:tc>
          <w:tcPr>
            <w:tcW w:w="2146" w:type="dxa"/>
          </w:tcPr>
          <w:p w14:paraId="69203E8D" w14:textId="77777777" w:rsidR="007F2280" w:rsidRPr="008F69EF" w:rsidRDefault="007F2280" w:rsidP="007F2280">
            <w:pPr>
              <w:tabs>
                <w:tab w:val="left" w:pos="3416"/>
              </w:tabs>
              <w:spacing w:line="259" w:lineRule="auto"/>
              <w:rPr>
                <w:rFonts w:eastAsiaTheme="minorHAnsi"/>
                <w:lang w:val="ro-RO" w:eastAsia="en-US"/>
              </w:rPr>
            </w:pPr>
            <w:r>
              <w:rPr>
                <w:rFonts w:eastAsiaTheme="minorHAnsi"/>
                <w:lang w:val="ro-RO" w:eastAsia="en-US"/>
              </w:rPr>
              <w:t>Vicepreședinta raionului</w:t>
            </w:r>
          </w:p>
        </w:tc>
        <w:tc>
          <w:tcPr>
            <w:tcW w:w="1440" w:type="dxa"/>
          </w:tcPr>
          <w:p w14:paraId="150CA601" w14:textId="32A0652E" w:rsidR="007F2280" w:rsidRPr="008F69EF" w:rsidRDefault="007F2280" w:rsidP="007F2280">
            <w:pPr>
              <w:tabs>
                <w:tab w:val="left" w:pos="3416"/>
              </w:tabs>
              <w:spacing w:line="259" w:lineRule="auto"/>
              <w:jc w:val="center"/>
              <w:rPr>
                <w:rFonts w:eastAsiaTheme="minorHAnsi"/>
                <w:lang w:val="ro-RO" w:eastAsia="en-US"/>
              </w:rPr>
            </w:pPr>
          </w:p>
        </w:tc>
        <w:tc>
          <w:tcPr>
            <w:tcW w:w="1344" w:type="dxa"/>
          </w:tcPr>
          <w:p w14:paraId="214934BB" w14:textId="179E6549" w:rsidR="007F2280" w:rsidRPr="008F69EF" w:rsidRDefault="007F2280" w:rsidP="007F2280">
            <w:pPr>
              <w:tabs>
                <w:tab w:val="left" w:pos="3416"/>
              </w:tabs>
              <w:spacing w:line="259" w:lineRule="auto"/>
              <w:jc w:val="center"/>
              <w:rPr>
                <w:rFonts w:eastAsiaTheme="minorHAnsi"/>
                <w:lang w:val="ro-RO" w:eastAsia="en-US"/>
              </w:rPr>
            </w:pPr>
          </w:p>
        </w:tc>
        <w:tc>
          <w:tcPr>
            <w:tcW w:w="1216" w:type="dxa"/>
          </w:tcPr>
          <w:p w14:paraId="10789E89" w14:textId="323ADF89" w:rsidR="007F2280" w:rsidRPr="009F1A5E" w:rsidRDefault="007F2280" w:rsidP="007F2280">
            <w:pPr>
              <w:spacing w:line="259" w:lineRule="auto"/>
              <w:jc w:val="center"/>
              <w:rPr>
                <w:rFonts w:eastAsiaTheme="minorHAnsi"/>
                <w:lang w:val="en-US" w:eastAsia="en-US"/>
              </w:rPr>
            </w:pPr>
          </w:p>
        </w:tc>
        <w:tc>
          <w:tcPr>
            <w:tcW w:w="1340" w:type="dxa"/>
          </w:tcPr>
          <w:p w14:paraId="7E66B4DF" w14:textId="56BD2B81" w:rsidR="007F2280" w:rsidRPr="008F69EF" w:rsidRDefault="007F2280" w:rsidP="007F2280">
            <w:pPr>
              <w:tabs>
                <w:tab w:val="left" w:pos="3416"/>
              </w:tabs>
              <w:spacing w:line="259" w:lineRule="auto"/>
              <w:jc w:val="center"/>
              <w:rPr>
                <w:rFonts w:eastAsiaTheme="minorHAnsi"/>
                <w:lang w:val="ro-RO" w:eastAsia="en-US"/>
              </w:rPr>
            </w:pPr>
          </w:p>
        </w:tc>
      </w:tr>
    </w:tbl>
    <w:p w14:paraId="3E8609B1" w14:textId="22BFB619" w:rsidR="007F2280" w:rsidRDefault="007F2280" w:rsidP="007F2280">
      <w:pPr>
        <w:tabs>
          <w:tab w:val="left" w:pos="3416"/>
        </w:tabs>
        <w:jc w:val="right"/>
        <w:rPr>
          <w:rFonts w:eastAsiaTheme="minorHAnsi"/>
          <w:b/>
          <w:sz w:val="22"/>
          <w:szCs w:val="22"/>
          <w:lang w:val="ro-RO" w:eastAsia="en-US"/>
        </w:rPr>
      </w:pPr>
      <w:r w:rsidRPr="008F69EF">
        <w:rPr>
          <w:rFonts w:eastAsiaTheme="minorHAnsi"/>
          <w:b/>
          <w:sz w:val="22"/>
          <w:szCs w:val="22"/>
          <w:lang w:val="ro-RO" w:eastAsia="en-US"/>
        </w:rPr>
        <w:t>din _</w:t>
      </w:r>
      <w:r>
        <w:rPr>
          <w:rFonts w:eastAsiaTheme="minorHAnsi"/>
          <w:b/>
          <w:sz w:val="22"/>
          <w:szCs w:val="22"/>
          <w:u w:val="single"/>
          <w:lang w:val="ro-RO" w:eastAsia="en-US"/>
        </w:rPr>
        <w:t>28 noiembrie</w:t>
      </w:r>
      <w:r w:rsidRPr="008F69EF">
        <w:rPr>
          <w:rFonts w:eastAsiaTheme="minorHAnsi"/>
          <w:b/>
          <w:sz w:val="22"/>
          <w:szCs w:val="22"/>
          <w:lang w:val="ro-RO" w:eastAsia="en-US"/>
        </w:rPr>
        <w:t>_2024</w:t>
      </w:r>
    </w:p>
    <w:p w14:paraId="01D976DA" w14:textId="77777777" w:rsidR="007F2280" w:rsidRDefault="007F2280" w:rsidP="007F2280">
      <w:pPr>
        <w:tabs>
          <w:tab w:val="left" w:pos="3416"/>
        </w:tabs>
        <w:jc w:val="right"/>
        <w:rPr>
          <w:rFonts w:eastAsiaTheme="minorHAnsi"/>
          <w:b/>
          <w:sz w:val="22"/>
          <w:szCs w:val="22"/>
          <w:lang w:val="ro-RO" w:eastAsia="en-US"/>
        </w:rPr>
      </w:pPr>
    </w:p>
    <w:p w14:paraId="0EB13628" w14:textId="77777777" w:rsidR="007F2280" w:rsidRPr="008F69EF" w:rsidRDefault="007F2280" w:rsidP="007F2280">
      <w:pPr>
        <w:tabs>
          <w:tab w:val="left" w:pos="3416"/>
        </w:tabs>
        <w:jc w:val="right"/>
        <w:rPr>
          <w:rFonts w:eastAsiaTheme="minorHAnsi"/>
          <w:b/>
          <w:sz w:val="22"/>
          <w:szCs w:val="22"/>
          <w:lang w:val="ro-RO" w:eastAsia="en-US"/>
        </w:rPr>
      </w:pPr>
    </w:p>
    <w:p w14:paraId="372EAEF5" w14:textId="77777777" w:rsidR="007F2280" w:rsidRDefault="007F2280" w:rsidP="007F2280">
      <w:pPr>
        <w:tabs>
          <w:tab w:val="left" w:pos="3416"/>
        </w:tabs>
        <w:rPr>
          <w:rFonts w:eastAsiaTheme="minorHAnsi"/>
          <w:sz w:val="22"/>
          <w:szCs w:val="22"/>
          <w:lang w:val="ro-RO" w:eastAsia="en-US"/>
        </w:rPr>
      </w:pPr>
    </w:p>
    <w:p w14:paraId="2FB9B174" w14:textId="77777777" w:rsidR="007F2280" w:rsidRPr="008F69EF" w:rsidRDefault="007F2280" w:rsidP="007F2280">
      <w:pPr>
        <w:tabs>
          <w:tab w:val="left" w:pos="3416"/>
        </w:tabs>
        <w:rPr>
          <w:rFonts w:eastAsiaTheme="minorHAnsi"/>
          <w:sz w:val="22"/>
          <w:szCs w:val="22"/>
          <w:lang w:val="ro-RO" w:eastAsia="en-US"/>
        </w:rPr>
      </w:pPr>
    </w:p>
    <w:p w14:paraId="1D6AF97A" w14:textId="77777777" w:rsidR="007F2280" w:rsidRDefault="007F2280" w:rsidP="001A582F">
      <w:pPr>
        <w:tabs>
          <w:tab w:val="left" w:pos="1860"/>
        </w:tabs>
        <w:jc w:val="both"/>
        <w:rPr>
          <w:rFonts w:eastAsia="Calibri"/>
          <w:b/>
          <w:i/>
          <w:sz w:val="16"/>
          <w:lang w:val="it-IT"/>
        </w:rPr>
      </w:pPr>
    </w:p>
    <w:p w14:paraId="2BF18CE5" w14:textId="77777777" w:rsidR="007F2280" w:rsidRDefault="007F2280" w:rsidP="001A582F">
      <w:pPr>
        <w:tabs>
          <w:tab w:val="left" w:pos="1860"/>
        </w:tabs>
        <w:jc w:val="both"/>
        <w:rPr>
          <w:rFonts w:eastAsia="Calibri"/>
          <w:b/>
          <w:i/>
          <w:sz w:val="16"/>
          <w:lang w:val="it-IT"/>
        </w:rPr>
      </w:pPr>
    </w:p>
    <w:p w14:paraId="6CB70348" w14:textId="77777777" w:rsidR="007F2280" w:rsidRDefault="007F2280" w:rsidP="001A582F">
      <w:pPr>
        <w:tabs>
          <w:tab w:val="left" w:pos="1860"/>
        </w:tabs>
        <w:jc w:val="both"/>
        <w:rPr>
          <w:rFonts w:eastAsia="Calibri"/>
          <w:b/>
          <w:i/>
          <w:sz w:val="16"/>
          <w:lang w:val="it-IT"/>
        </w:rPr>
      </w:pPr>
    </w:p>
    <w:p w14:paraId="4405D60B" w14:textId="77777777" w:rsidR="007F2280" w:rsidRDefault="007F2280" w:rsidP="001A582F">
      <w:pPr>
        <w:tabs>
          <w:tab w:val="left" w:pos="1860"/>
        </w:tabs>
        <w:jc w:val="both"/>
        <w:rPr>
          <w:rFonts w:eastAsia="Calibri"/>
          <w:b/>
          <w:i/>
          <w:sz w:val="16"/>
          <w:lang w:val="it-IT"/>
        </w:rPr>
      </w:pPr>
    </w:p>
    <w:p w14:paraId="2EF14BA0" w14:textId="77777777" w:rsidR="007F2280" w:rsidRDefault="007F2280" w:rsidP="001A582F">
      <w:pPr>
        <w:tabs>
          <w:tab w:val="left" w:pos="1860"/>
        </w:tabs>
        <w:jc w:val="both"/>
        <w:rPr>
          <w:rFonts w:eastAsia="Calibri"/>
          <w:b/>
          <w:i/>
          <w:sz w:val="16"/>
          <w:lang w:val="it-IT"/>
        </w:rPr>
      </w:pPr>
    </w:p>
    <w:p w14:paraId="79EEF49D" w14:textId="77777777" w:rsidR="007F2280" w:rsidRDefault="007F2280" w:rsidP="001A582F">
      <w:pPr>
        <w:tabs>
          <w:tab w:val="left" w:pos="1860"/>
        </w:tabs>
        <w:jc w:val="both"/>
        <w:rPr>
          <w:rFonts w:eastAsia="Calibri"/>
          <w:b/>
          <w:i/>
          <w:sz w:val="16"/>
          <w:lang w:val="it-IT"/>
        </w:rPr>
      </w:pPr>
    </w:p>
    <w:p w14:paraId="5F2B33C7" w14:textId="77777777" w:rsidR="007F2280" w:rsidRDefault="007F2280" w:rsidP="001A582F">
      <w:pPr>
        <w:tabs>
          <w:tab w:val="left" w:pos="1860"/>
        </w:tabs>
        <w:jc w:val="both"/>
        <w:rPr>
          <w:rFonts w:eastAsia="Calibri"/>
          <w:b/>
          <w:i/>
          <w:sz w:val="16"/>
          <w:lang w:val="it-IT"/>
        </w:rPr>
      </w:pPr>
    </w:p>
    <w:p w14:paraId="176E462B" w14:textId="77777777" w:rsidR="007F2280" w:rsidRPr="001A582F" w:rsidRDefault="007F2280" w:rsidP="001A582F">
      <w:pPr>
        <w:tabs>
          <w:tab w:val="left" w:pos="1860"/>
        </w:tabs>
        <w:jc w:val="both"/>
        <w:rPr>
          <w:rFonts w:eastAsia="Calibri"/>
          <w:b/>
          <w:i/>
          <w:sz w:val="16"/>
          <w:lang w:val="it-IT"/>
        </w:rPr>
      </w:pPr>
    </w:p>
    <w:sectPr w:rsidR="007F2280" w:rsidRPr="001A582F" w:rsidSect="006919B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D3249CA"/>
    <w:multiLevelType w:val="multilevel"/>
    <w:tmpl w:val="A8D2252E"/>
    <w:lvl w:ilvl="0">
      <w:start w:val="1"/>
      <w:numFmt w:val="decimal"/>
      <w:lvlText w:val="%1."/>
      <w:lvlJc w:val="left"/>
      <w:pPr>
        <w:ind w:left="780" w:hanging="360"/>
      </w:pPr>
      <w:rPr>
        <w:rFonts w:hint="default"/>
        <w:b w:val="0"/>
        <w:color w:val="auto"/>
      </w:rPr>
    </w:lvl>
    <w:lvl w:ilvl="1">
      <w:start w:val="2"/>
      <w:numFmt w:val="decimal"/>
      <w:isLgl/>
      <w:lvlText w:val="%1.%2."/>
      <w:lvlJc w:val="left"/>
      <w:pPr>
        <w:ind w:left="927" w:hanging="360"/>
      </w:pPr>
      <w:rPr>
        <w:rFonts w:hint="default"/>
        <w:color w:val="000000" w:themeColor="text1"/>
      </w:rPr>
    </w:lvl>
    <w:lvl w:ilvl="2">
      <w:start w:val="1"/>
      <w:numFmt w:val="decimal"/>
      <w:isLgl/>
      <w:lvlText w:val="%1.%2.%3."/>
      <w:lvlJc w:val="left"/>
      <w:pPr>
        <w:ind w:left="1434" w:hanging="720"/>
      </w:pPr>
      <w:rPr>
        <w:rFonts w:hint="default"/>
        <w:color w:val="000000" w:themeColor="text1"/>
      </w:rPr>
    </w:lvl>
    <w:lvl w:ilvl="3">
      <w:start w:val="1"/>
      <w:numFmt w:val="decimal"/>
      <w:isLgl/>
      <w:lvlText w:val="%1.%2.%3.%4."/>
      <w:lvlJc w:val="left"/>
      <w:pPr>
        <w:ind w:left="1581" w:hanging="720"/>
      </w:pPr>
      <w:rPr>
        <w:rFonts w:hint="default"/>
        <w:color w:val="000000" w:themeColor="text1"/>
      </w:rPr>
    </w:lvl>
    <w:lvl w:ilvl="4">
      <w:start w:val="1"/>
      <w:numFmt w:val="decimal"/>
      <w:isLgl/>
      <w:lvlText w:val="%1.%2.%3.%4.%5."/>
      <w:lvlJc w:val="left"/>
      <w:pPr>
        <w:ind w:left="2088" w:hanging="1080"/>
      </w:pPr>
      <w:rPr>
        <w:rFonts w:hint="default"/>
        <w:color w:val="000000" w:themeColor="text1"/>
      </w:rPr>
    </w:lvl>
    <w:lvl w:ilvl="5">
      <w:start w:val="1"/>
      <w:numFmt w:val="decimal"/>
      <w:isLgl/>
      <w:lvlText w:val="%1.%2.%3.%4.%5.%6."/>
      <w:lvlJc w:val="left"/>
      <w:pPr>
        <w:ind w:left="2235" w:hanging="1080"/>
      </w:pPr>
      <w:rPr>
        <w:rFonts w:hint="default"/>
        <w:color w:val="000000" w:themeColor="text1"/>
      </w:rPr>
    </w:lvl>
    <w:lvl w:ilvl="6">
      <w:start w:val="1"/>
      <w:numFmt w:val="decimal"/>
      <w:isLgl/>
      <w:lvlText w:val="%1.%2.%3.%4.%5.%6.%7."/>
      <w:lvlJc w:val="left"/>
      <w:pPr>
        <w:ind w:left="2742" w:hanging="1440"/>
      </w:pPr>
      <w:rPr>
        <w:rFonts w:hint="default"/>
        <w:color w:val="000000" w:themeColor="text1"/>
      </w:rPr>
    </w:lvl>
    <w:lvl w:ilvl="7">
      <w:start w:val="1"/>
      <w:numFmt w:val="decimal"/>
      <w:isLgl/>
      <w:lvlText w:val="%1.%2.%3.%4.%5.%6.%7.%8."/>
      <w:lvlJc w:val="left"/>
      <w:pPr>
        <w:ind w:left="2889" w:hanging="1440"/>
      </w:pPr>
      <w:rPr>
        <w:rFonts w:hint="default"/>
        <w:color w:val="000000" w:themeColor="text1"/>
      </w:rPr>
    </w:lvl>
    <w:lvl w:ilvl="8">
      <w:start w:val="1"/>
      <w:numFmt w:val="decimal"/>
      <w:isLgl/>
      <w:lvlText w:val="%1.%2.%3.%4.%5.%6.%7.%8.%9."/>
      <w:lvlJc w:val="left"/>
      <w:pPr>
        <w:ind w:left="3396" w:hanging="1800"/>
      </w:pPr>
      <w:rPr>
        <w:rFonts w:hint="default"/>
        <w:color w:val="000000" w:themeColor="text1"/>
      </w:rPr>
    </w:lvl>
  </w:abstractNum>
  <w:abstractNum w:abstractNumId="4">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7">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9">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0">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2">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14">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5">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75144875"/>
    <w:multiLevelType w:val="hybridMultilevel"/>
    <w:tmpl w:val="3E2A5A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E794540"/>
    <w:multiLevelType w:val="multilevel"/>
    <w:tmpl w:val="BD6ECA62"/>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15"/>
  </w:num>
  <w:num w:numId="3">
    <w:abstractNumId w:val="2"/>
  </w:num>
  <w:num w:numId="4">
    <w:abstractNumId w:val="12"/>
  </w:num>
  <w:num w:numId="5">
    <w:abstractNumId w:val="0"/>
  </w:num>
  <w:num w:numId="6">
    <w:abstractNumId w:val="11"/>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6"/>
  </w:num>
  <w:num w:numId="12">
    <w:abstractNumId w:val="13"/>
  </w:num>
  <w:num w:numId="13">
    <w:abstractNumId w:val="4"/>
  </w:num>
  <w:num w:numId="14">
    <w:abstractNumId w:val="10"/>
  </w:num>
  <w:num w:numId="1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1E89"/>
    <w:rsid w:val="00044264"/>
    <w:rsid w:val="00046014"/>
    <w:rsid w:val="00047E4A"/>
    <w:rsid w:val="00064C3B"/>
    <w:rsid w:val="00064F9B"/>
    <w:rsid w:val="00093E94"/>
    <w:rsid w:val="000B02EC"/>
    <w:rsid w:val="000B0F02"/>
    <w:rsid w:val="000B5154"/>
    <w:rsid w:val="000D086F"/>
    <w:rsid w:val="000D71A3"/>
    <w:rsid w:val="000F4706"/>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E67"/>
    <w:rsid w:val="0037543C"/>
    <w:rsid w:val="003A2855"/>
    <w:rsid w:val="003E31E8"/>
    <w:rsid w:val="003E4529"/>
    <w:rsid w:val="003E7392"/>
    <w:rsid w:val="003F7623"/>
    <w:rsid w:val="00420407"/>
    <w:rsid w:val="004403FA"/>
    <w:rsid w:val="004425F0"/>
    <w:rsid w:val="004765F1"/>
    <w:rsid w:val="004C2F3A"/>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7F2280"/>
    <w:rsid w:val="00801E5B"/>
    <w:rsid w:val="00805973"/>
    <w:rsid w:val="00811FBF"/>
    <w:rsid w:val="00816261"/>
    <w:rsid w:val="00825574"/>
    <w:rsid w:val="00833043"/>
    <w:rsid w:val="00845372"/>
    <w:rsid w:val="0085543D"/>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52887"/>
    <w:rsid w:val="00A54638"/>
    <w:rsid w:val="00A55B11"/>
    <w:rsid w:val="00A8542C"/>
    <w:rsid w:val="00A94642"/>
    <w:rsid w:val="00AA01E3"/>
    <w:rsid w:val="00AC3C92"/>
    <w:rsid w:val="00AE5674"/>
    <w:rsid w:val="00AE7852"/>
    <w:rsid w:val="00AF228F"/>
    <w:rsid w:val="00B30254"/>
    <w:rsid w:val="00B46D3A"/>
    <w:rsid w:val="00B55B40"/>
    <w:rsid w:val="00B67FA6"/>
    <w:rsid w:val="00B76CC9"/>
    <w:rsid w:val="00B87A73"/>
    <w:rsid w:val="00BA3868"/>
    <w:rsid w:val="00BB1874"/>
    <w:rsid w:val="00BB6F8E"/>
    <w:rsid w:val="00BC3EF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42AC8"/>
    <w:rsid w:val="00F51195"/>
    <w:rsid w:val="00F9066C"/>
    <w:rsid w:val="00F92C2D"/>
    <w:rsid w:val="00FA2020"/>
    <w:rsid w:val="00FA4EB0"/>
    <w:rsid w:val="00FB6000"/>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5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5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14013847">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EC9D-3B81-4543-99CB-E8DEE2F7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2024-10-03T06:35:00Z</cp:lastPrinted>
  <dcterms:created xsi:type="dcterms:W3CDTF">2024-12-05T13:46:00Z</dcterms:created>
  <dcterms:modified xsi:type="dcterms:W3CDTF">2024-12-05T13:46:00Z</dcterms:modified>
</cp:coreProperties>
</file>