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A" w:rsidRDefault="0016029A" w:rsidP="00B13E09">
      <w:pPr>
        <w:pStyle w:val="a3"/>
        <w:spacing w:before="35"/>
        <w:ind w:left="0" w:firstLine="0"/>
        <w:jc w:val="center"/>
        <w:rPr>
          <w:b w:val="0"/>
        </w:rPr>
      </w:pPr>
    </w:p>
    <w:p w:rsidR="0089154A" w:rsidRPr="008637B7" w:rsidRDefault="00B13E09" w:rsidP="0089154A">
      <w:pPr>
        <w:spacing w:line="360" w:lineRule="auto"/>
        <w:jc w:val="center"/>
        <w:rPr>
          <w:b/>
          <w:sz w:val="24"/>
          <w:szCs w:val="24"/>
        </w:rPr>
      </w:pPr>
      <w:r w:rsidRPr="004742FD">
        <w:rPr>
          <w:b/>
          <w:sz w:val="24"/>
          <w:szCs w:val="24"/>
        </w:rPr>
        <w:t>Ordinea de zi pentru</w:t>
      </w:r>
      <w:r w:rsidR="00585078">
        <w:rPr>
          <w:b/>
          <w:sz w:val="24"/>
          <w:szCs w:val="24"/>
        </w:rPr>
        <w:t xml:space="preserve"> </w:t>
      </w:r>
      <w:r w:rsidR="0089154A" w:rsidRPr="008637B7">
        <w:rPr>
          <w:b/>
          <w:sz w:val="24"/>
          <w:szCs w:val="24"/>
        </w:rPr>
        <w:t>Comisia consultativă pentru Etică, legislaţie, ordine și drepturile omului</w:t>
      </w:r>
    </w:p>
    <w:p w:rsidR="00B13E09" w:rsidRPr="0089154A" w:rsidRDefault="0089154A" w:rsidP="0089154A">
      <w:pPr>
        <w:spacing w:line="360" w:lineRule="auto"/>
        <w:jc w:val="center"/>
        <w:rPr>
          <w:sz w:val="24"/>
          <w:szCs w:val="24"/>
        </w:rPr>
      </w:pPr>
      <w:r w:rsidRPr="008637B7">
        <w:rPr>
          <w:sz w:val="24"/>
          <w:szCs w:val="24"/>
        </w:rPr>
        <w:t>data de 04 aprilie 2025  ora 08:30, Sala de ședințe a Consiliului raional, etajul III</w:t>
      </w:r>
    </w:p>
    <w:p w:rsidR="0089154A" w:rsidRPr="008637B7" w:rsidRDefault="0089154A" w:rsidP="0089154A">
      <w:pPr>
        <w:spacing w:line="360" w:lineRule="auto"/>
        <w:jc w:val="center"/>
        <w:rPr>
          <w:sz w:val="24"/>
          <w:szCs w:val="24"/>
        </w:rPr>
      </w:pPr>
    </w:p>
    <w:p w:rsidR="0089154A" w:rsidRP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ro-MD" w:eastAsia="ru-RU"/>
        </w:rPr>
      </w:pPr>
      <w:r>
        <w:rPr>
          <w:b/>
          <w:bCs/>
          <w:sz w:val="24"/>
          <w:szCs w:val="24"/>
          <w:lang w:val="ro-MD" w:eastAsia="ru-RU"/>
        </w:rPr>
        <w:t>1.</w:t>
      </w:r>
      <w:r w:rsidRPr="0089154A">
        <w:t xml:space="preserve"> </w:t>
      </w:r>
      <w:r w:rsidRPr="0089154A">
        <w:rPr>
          <w:b/>
          <w:bCs/>
          <w:sz w:val="24"/>
          <w:szCs w:val="24"/>
          <w:lang w:val="ro-MD" w:eastAsia="ru-RU"/>
        </w:rPr>
        <w:t>Cu privire la atribuirea unui mandat de consilier şi operarea modificărilor în componenţa Comisi</w:t>
      </w:r>
      <w:r>
        <w:rPr>
          <w:b/>
          <w:bCs/>
          <w:sz w:val="24"/>
          <w:szCs w:val="24"/>
          <w:lang w:val="ro-MD" w:eastAsia="ru-RU"/>
        </w:rPr>
        <w:t>ei consultative de specialitate</w:t>
      </w:r>
    </w:p>
    <w:p w:rsid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ro-MD" w:eastAsia="ru-RU"/>
        </w:rPr>
      </w:pPr>
      <w:r w:rsidRPr="0089154A">
        <w:rPr>
          <w:bCs/>
          <w:sz w:val="24"/>
          <w:szCs w:val="24"/>
          <w:lang w:val="ro-MD" w:eastAsia="ru-RU"/>
        </w:rPr>
        <w:t>Raportor: Angela Mihaliuc, specialistă principală Secția Juridică și Resurse</w:t>
      </w:r>
      <w:r w:rsidRPr="0089154A">
        <w:rPr>
          <w:b/>
          <w:bCs/>
          <w:sz w:val="24"/>
          <w:szCs w:val="24"/>
          <w:lang w:val="ro-MD" w:eastAsia="ru-RU"/>
        </w:rPr>
        <w:t xml:space="preserve"> Umane</w:t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2. </w:t>
      </w:r>
      <w:r w:rsidR="00585078">
        <w:fldChar w:fldCharType="begin"/>
      </w:r>
      <w:r w:rsidR="00585078">
        <w:instrText xml:space="preserve"> HYPERLINK "https://singerei.md/wp-content/uploads/2025/02/Dec.-modif.-martie-2025.doc" </w:instrText>
      </w:r>
      <w:r w:rsidR="00585078">
        <w:fldChar w:fldCharType="separate"/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 8/2 din 28.11.2024 „Cu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bugetului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2025”</w:t>
      </w:r>
      <w:r w:rsidR="00585078">
        <w:rPr>
          <w:b/>
          <w:bCs/>
          <w:sz w:val="24"/>
          <w:szCs w:val="24"/>
          <w:bdr w:val="none" w:sz="0" w:space="0" w:color="auto" w:frame="1"/>
          <w:lang w:val="en-US" w:eastAsia="ru-RU"/>
        </w:rPr>
        <w:fldChar w:fldCharType="end"/>
      </w:r>
    </w:p>
    <w:p w:rsid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Octavian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Banaru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Direcția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Finanțe</w:t>
      </w:r>
      <w:proofErr w:type="spellEnd"/>
    </w:p>
    <w:p w:rsidR="0089154A" w:rsidRP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</w:pP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3.</w:t>
      </w:r>
      <w:r w:rsidRPr="0089154A">
        <w:rPr>
          <w:b/>
        </w:rPr>
        <w:t xml:space="preserve"> 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asigurarea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interimatului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funcției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Secretar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al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Consiliului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</w:p>
    <w:p w:rsid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Angela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Mihaliuc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specialistă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principală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Juridică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Resurse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Umane</w:t>
      </w:r>
      <w:proofErr w:type="spellEnd"/>
    </w:p>
    <w:p w:rsidR="0089154A" w:rsidRP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</w:pP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6.</w:t>
      </w:r>
      <w:r w:rsidRPr="0089154A">
        <w:rPr>
          <w:b/>
        </w:rPr>
        <w:t xml:space="preserve"> 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încheierea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Acordului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colaborare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între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Consiliul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Asociația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Obștească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Asoci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ația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Cadrelor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Didactice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Fălești</w:t>
      </w:r>
      <w:proofErr w:type="spellEnd"/>
    </w:p>
    <w:p w:rsid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Viorica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Hadîrcă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specialistă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superioară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Administrație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Publică</w:t>
      </w:r>
      <w:proofErr w:type="spellEnd"/>
    </w:p>
    <w:p w:rsidR="0089154A" w:rsidRP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</w:pP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13.</w:t>
      </w:r>
      <w:r w:rsidRPr="0089154A">
        <w:rPr>
          <w:b/>
        </w:rPr>
        <w:t xml:space="preserve"> 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reorganizare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Centrului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Tineret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</w:p>
    <w:p w:rsid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Ana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Foltea-Cazac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specialistă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principală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domeniul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tineret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sport)</w:t>
      </w:r>
    </w:p>
    <w:p w:rsidR="0089154A" w:rsidRP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</w:pP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15.</w:t>
      </w:r>
      <w:r w:rsidRPr="0089154A">
        <w:rPr>
          <w:b/>
        </w:rPr>
        <w:t xml:space="preserve"> 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acordul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transmitere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locațiune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suprafeței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neutilizate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procesul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activitate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aflat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gestiunea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IMS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P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Centrul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Sănătate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Vera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Serbușca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vicepreședinta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raionului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21.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"https://singerei.md/wp-content/uploads/2025/02/STRATEGIA-modificare.doc"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 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completarea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nr.7/6 din 10.12.2021 ,, 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,,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Strategiei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dezvoltare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socio-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economică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raionului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perioada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anilor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2021-2028”</w:t>
      </w:r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89154A" w:rsidRP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</w:pP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22.</w:t>
      </w:r>
      <w:r w:rsidRPr="0089154A">
        <w:rPr>
          <w:b/>
        </w:rPr>
        <w:t xml:space="preserve"> 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modificarea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nr. 2/26 din 11.03.2024 </w:t>
      </w:r>
      <w:proofErr w:type="gram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,,Cu</w:t>
      </w:r>
      <w:proofErr w:type="gram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la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încheierii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contractului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comodat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tripartit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)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între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Consiliul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IMSP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Spitalul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Ministerul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Sănătății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calitate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Fondator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al I</w:t>
      </w:r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MSP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Spitalul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89154A">
        <w:rPr>
          <w:b/>
          <w:bCs/>
          <w:iCs/>
          <w:sz w:val="24"/>
          <w:szCs w:val="24"/>
          <w:bdr w:val="none" w:sz="0" w:space="0" w:color="auto" w:frame="1"/>
          <w:lang w:val="en-US" w:eastAsia="ru-RU"/>
        </w:rPr>
        <w:t>)”</w:t>
      </w:r>
    </w:p>
    <w:p w:rsidR="0089154A" w:rsidRPr="0089154A" w:rsidRDefault="0089154A" w:rsidP="0089154A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iCs/>
          <w:sz w:val="24"/>
          <w:szCs w:val="24"/>
          <w:bdr w:val="none" w:sz="0" w:space="0" w:color="auto" w:frame="1"/>
          <w:lang w:val="en-US" w:eastAsia="ru-RU"/>
        </w:rPr>
      </w:pP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Ala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Guzun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interimară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Secția</w:t>
      </w:r>
      <w:proofErr w:type="spellEnd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89154A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Economie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29. </w:t>
      </w:r>
      <w:r w:rsidRPr="004742FD">
        <w:rPr>
          <w:b/>
          <w:bCs/>
          <w:sz w:val="24"/>
          <w:szCs w:val="24"/>
          <w:lang w:val="ru-RU" w:eastAsia="ru-RU"/>
        </w:rPr>
        <w:fldChar w:fldCharType="begin"/>
      </w:r>
      <w:r w:rsidRPr="004742FD">
        <w:rPr>
          <w:b/>
          <w:bCs/>
          <w:sz w:val="24"/>
          <w:szCs w:val="24"/>
          <w:lang w:val="en-US" w:eastAsia="ru-RU"/>
        </w:rPr>
        <w:instrText xml:space="preserve"> HYPERLINK "https://singerei.md/wp-content/uploads/2025/02/Nota-inform-defrisare-L276.doc" </w:instrText>
      </w:r>
      <w:r w:rsidRPr="004742FD">
        <w:rPr>
          <w:b/>
          <w:bCs/>
          <w:sz w:val="24"/>
          <w:szCs w:val="24"/>
          <w:lang w:val="ru-RU" w:eastAsia="ru-RU"/>
        </w:rPr>
        <w:fldChar w:fldCharType="separate"/>
      </w:r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Cu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privire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la</w:t>
      </w:r>
      <w:proofErr w:type="gram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 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defri</w:t>
      </w:r>
      <w:proofErr w:type="gram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șarea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arborilor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(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tăierea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igienică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elagajul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artificial)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cadrul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efectuării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lucrărilor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întreținere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drumurilor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publice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locale,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gestionate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către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Consiliul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raional</w:t>
      </w:r>
      <w:proofErr w:type="spellEnd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/>
          <w:bCs/>
          <w:sz w:val="24"/>
          <w:szCs w:val="24"/>
          <w:bdr w:val="none" w:sz="0" w:space="0" w:color="auto" w:frame="1"/>
          <w:lang w:val="en-US" w:eastAsia="ru-RU"/>
        </w:rPr>
        <w:t>Sîngerei</w:t>
      </w:r>
      <w:proofErr w:type="spellEnd"/>
      <w:r w:rsidRPr="004742FD">
        <w:rPr>
          <w:b/>
          <w:bCs/>
          <w:sz w:val="24"/>
          <w:szCs w:val="24"/>
          <w:lang w:val="ru-RU" w:eastAsia="ru-RU"/>
        </w:rPr>
        <w:fldChar w:fldCharType="end"/>
      </w:r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Minodora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Simonov,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Construcții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Drumuri</w:t>
      </w:r>
      <w:proofErr w:type="spellEnd"/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/>
          <w:bCs/>
          <w:sz w:val="24"/>
          <w:szCs w:val="24"/>
          <w:lang w:val="en-US" w:eastAsia="ru-RU"/>
        </w:rPr>
      </w:pPr>
      <w:r>
        <w:rPr>
          <w:b/>
          <w:bCs/>
          <w:sz w:val="24"/>
          <w:szCs w:val="24"/>
          <w:lang w:val="ro-MD" w:eastAsia="ru-RU"/>
        </w:rPr>
        <w:t xml:space="preserve">30. </w:t>
      </w:r>
      <w:hyperlink r:id="rId5" w:history="1"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Privind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modificarea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Anexei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nr.1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Deciziei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Consiliului</w:t>
        </w:r>
        <w:proofErr w:type="spellEnd"/>
        <w:proofErr w:type="gram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 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proofErr w:type="gram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nr. 8/</w:t>
        </w:r>
        <w:proofErr w:type="gram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23  din</w:t>
        </w:r>
        <w:proofErr w:type="gram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28.11.2024  ,,Cu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privire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la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aprobarea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Programului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lucrărilor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întreţinere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şi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reparaţie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a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drumurilor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publice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locale (de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interes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),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finanţate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din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mijloacele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financiare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prevăzute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în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bugetul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raional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pentru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 </w:t>
        </w:r>
        <w:proofErr w:type="spellStart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>anul</w:t>
        </w:r>
        <w:proofErr w:type="spellEnd"/>
        <w:r w:rsidRPr="004742FD">
          <w:rPr>
            <w:b/>
            <w:bCs/>
            <w:sz w:val="24"/>
            <w:szCs w:val="24"/>
            <w:bdr w:val="none" w:sz="0" w:space="0" w:color="auto" w:frame="1"/>
            <w:lang w:val="en-US" w:eastAsia="ru-RU"/>
          </w:rPr>
          <w:t xml:space="preserve"> 2025”</w:t>
        </w:r>
      </w:hyperlink>
    </w:p>
    <w:p w:rsidR="004742FD" w:rsidRPr="004742FD" w:rsidRDefault="004742FD" w:rsidP="004742FD">
      <w:pPr>
        <w:widowControl/>
        <w:shd w:val="clear" w:color="auto" w:fill="FFFFFF"/>
        <w:autoSpaceDE/>
        <w:autoSpaceDN/>
        <w:spacing w:afterAutospacing="1"/>
        <w:jc w:val="both"/>
        <w:textAlignment w:val="baseline"/>
        <w:rPr>
          <w:bCs/>
          <w:sz w:val="24"/>
          <w:szCs w:val="24"/>
          <w:lang w:val="en-US" w:eastAsia="ru-RU"/>
        </w:rPr>
      </w:pP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Raportor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: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Minodora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Simonov,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șefă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Serviciul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Construcții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și</w:t>
      </w:r>
      <w:proofErr w:type="spellEnd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4742FD">
        <w:rPr>
          <w:bCs/>
          <w:iCs/>
          <w:sz w:val="24"/>
          <w:szCs w:val="24"/>
          <w:bdr w:val="none" w:sz="0" w:space="0" w:color="auto" w:frame="1"/>
          <w:lang w:val="en-US" w:eastAsia="ru-RU"/>
        </w:rPr>
        <w:t>Drumuri</w:t>
      </w:r>
      <w:proofErr w:type="spellEnd"/>
    </w:p>
    <w:p w:rsidR="00B13E09" w:rsidRPr="0089154A" w:rsidRDefault="0089154A" w:rsidP="0089154A">
      <w:pPr>
        <w:widowControl/>
        <w:shd w:val="clear" w:color="auto" w:fill="FFFFFF"/>
        <w:autoSpaceDE/>
        <w:autoSpaceDN/>
        <w:jc w:val="center"/>
        <w:textAlignment w:val="center"/>
        <w:rPr>
          <w:rFonts w:ascii="inherit" w:hAnsi="inherit"/>
          <w:b/>
          <w:bCs/>
          <w:sz w:val="2"/>
          <w:szCs w:val="2"/>
          <w:lang w:val="en-US" w:eastAsia="ru-RU"/>
        </w:rPr>
      </w:pPr>
      <w:r>
        <w:rPr>
          <w:rFonts w:ascii="inherit" w:hAnsi="inherit"/>
          <w:b/>
          <w:bCs/>
          <w:sz w:val="2"/>
          <w:szCs w:val="2"/>
          <w:lang w:val="en-US" w:eastAsia="ru-RU"/>
        </w:rPr>
        <w:t>  </w:t>
      </w:r>
    </w:p>
    <w:p w:rsidR="004742FD" w:rsidRPr="004742FD" w:rsidRDefault="004742FD">
      <w:pPr>
        <w:spacing w:line="274" w:lineRule="exact"/>
        <w:ind w:left="568"/>
        <w:jc w:val="both"/>
        <w:rPr>
          <w:b/>
          <w:sz w:val="24"/>
        </w:rPr>
      </w:pPr>
      <w:bookmarkStart w:id="0" w:name="_GoBack"/>
      <w:bookmarkEnd w:id="0"/>
    </w:p>
    <w:sectPr w:rsidR="004742FD" w:rsidRPr="004742FD" w:rsidSect="0089154A">
      <w:pgSz w:w="11910" w:h="16840"/>
      <w:pgMar w:top="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D1372"/>
    <w:multiLevelType w:val="hybridMultilevel"/>
    <w:tmpl w:val="6354E556"/>
    <w:lvl w:ilvl="0" w:tplc="D88CED7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E2AE838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04C2EFE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DFE13C8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4E9C4E1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430222CE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905EC966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C208E4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F05230DC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">
    <w:nsid w:val="57B91540"/>
    <w:multiLevelType w:val="hybridMultilevel"/>
    <w:tmpl w:val="EE3E710A"/>
    <w:lvl w:ilvl="0" w:tplc="2140DCD6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F04C35E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A14C62EA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32D21EB0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68EEC9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EF985388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DBDE722E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CF78BF2E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EE46AE42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2">
    <w:nsid w:val="5CE7654C"/>
    <w:multiLevelType w:val="multilevel"/>
    <w:tmpl w:val="C77E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B425B"/>
    <w:multiLevelType w:val="hybridMultilevel"/>
    <w:tmpl w:val="CAB076D6"/>
    <w:lvl w:ilvl="0" w:tplc="B2C22EDA">
      <w:start w:val="32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>
    <w:nsid w:val="7F605118"/>
    <w:multiLevelType w:val="multilevel"/>
    <w:tmpl w:val="BCAE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29A"/>
    <w:rsid w:val="0016029A"/>
    <w:rsid w:val="004742FD"/>
    <w:rsid w:val="00585078"/>
    <w:rsid w:val="0089154A"/>
    <w:rsid w:val="00B13E09"/>
    <w:rsid w:val="00E0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DA694-8EE7-468F-B4F7-4050A91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5">
    <w:name w:val="heading 5"/>
    <w:basedOn w:val="a"/>
    <w:link w:val="50"/>
    <w:uiPriority w:val="9"/>
    <w:qFormat/>
    <w:rsid w:val="004742F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6"/>
      <w:ind w:left="1" w:firstLine="566"/>
      <w:jc w:val="both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right="28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6"/>
      <w:ind w:left="1" w:right="13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50">
    <w:name w:val="Заголовок 5 Знак"/>
    <w:basedOn w:val="a0"/>
    <w:link w:val="5"/>
    <w:uiPriority w:val="9"/>
    <w:rsid w:val="004742F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4742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4742FD"/>
    <w:rPr>
      <w:color w:val="0000FF"/>
      <w:u w:val="single"/>
    </w:rPr>
  </w:style>
  <w:style w:type="character" w:styleId="a8">
    <w:name w:val="Strong"/>
    <w:basedOn w:val="a0"/>
    <w:uiPriority w:val="22"/>
    <w:qFormat/>
    <w:rsid w:val="004742FD"/>
    <w:rPr>
      <w:b/>
      <w:bCs/>
    </w:rPr>
  </w:style>
  <w:style w:type="character" w:styleId="a9">
    <w:name w:val="Emphasis"/>
    <w:basedOn w:val="a0"/>
    <w:uiPriority w:val="20"/>
    <w:qFormat/>
    <w:rsid w:val="004742F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42FD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42FD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42FD"/>
    <w:rPr>
      <w:rFonts w:ascii="Arial" w:eastAsia="Times New Roman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39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152692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83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auto"/>
                            <w:left w:val="none" w:sz="0" w:space="0" w:color="auto"/>
                            <w:bottom w:val="none" w:sz="0" w:space="15" w:color="auto"/>
                            <w:right w:val="none" w:sz="0" w:space="0" w:color="auto"/>
                          </w:divBdr>
                          <w:divsChild>
                            <w:div w:id="20655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6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8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88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8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7155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7256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gerei.md/wp-content/uploads/2025/02/Modificare-8-23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Mariana</cp:lastModifiedBy>
  <cp:revision>7</cp:revision>
  <dcterms:created xsi:type="dcterms:W3CDTF">2025-03-27T09:27:00Z</dcterms:created>
  <dcterms:modified xsi:type="dcterms:W3CDTF">2025-03-27T12:23:00Z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