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4742FD" w:rsidRPr="004742FD" w:rsidRDefault="00B13E09" w:rsidP="004742FD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 xml:space="preserve">Ordinea de zi pentru </w:t>
      </w:r>
      <w:r w:rsidR="004742FD" w:rsidRPr="004742FD">
        <w:rPr>
          <w:b/>
          <w:sz w:val="24"/>
          <w:szCs w:val="24"/>
        </w:rPr>
        <w:t>Comisia consultativă pentru Economie, finanţe şi buget</w:t>
      </w:r>
    </w:p>
    <w:p w:rsidR="004742FD" w:rsidRPr="004742FD" w:rsidRDefault="004742FD" w:rsidP="004742FD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>data de 02 aprilie 2025  ora 15:00, Sala de ședințe a Consiliului raional, etajul III</w:t>
      </w:r>
    </w:p>
    <w:p w:rsidR="00B13E09" w:rsidRPr="008637B7" w:rsidRDefault="00B13E09" w:rsidP="004742FD">
      <w:pPr>
        <w:spacing w:line="360" w:lineRule="auto"/>
        <w:jc w:val="center"/>
        <w:rPr>
          <w:sz w:val="24"/>
          <w:szCs w:val="24"/>
        </w:rPr>
      </w:pP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"https://singerei.md/wp-content/uploads/2025/02/Dec.-modif.-martie-2025.doc"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 8/2 din 28.11.2024 „Cu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bugetului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anul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2025”</w:t>
      </w:r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Octavian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Banaru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Finanțe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bdr w:val="none" w:sz="0" w:space="0" w:color="auto" w:frame="1"/>
          <w:lang w:val="ro-MD" w:eastAsia="ru-RU"/>
        </w:rPr>
        <w:t xml:space="preserve">5. </w:t>
      </w:r>
      <w:r w:rsidRPr="004742FD">
        <w:rPr>
          <w:b/>
          <w:bCs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instrText xml:space="preserve"> HYPERLINK "https://singerei.md/wp-content/uploads/2025/02/Incorporare-aprilie-iulie-2025.docx" </w:instrText>
      </w:r>
      <w:r w:rsidRPr="004742FD">
        <w:rPr>
          <w:b/>
          <w:bCs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efectuarea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examenului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medico-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militar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al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recruților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încorporarea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militar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termen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, 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termen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redus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cel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civil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perioada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aprilie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–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iulie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2025</w:t>
      </w:r>
      <w:r w:rsidRPr="004742FD">
        <w:rPr>
          <w:b/>
          <w:bCs/>
          <w:sz w:val="24"/>
          <w:szCs w:val="24"/>
          <w:u w:val="single"/>
          <w:bdr w:val="none" w:sz="0" w:space="0" w:color="auto" w:frame="1"/>
          <w:lang w:val="en-US" w:eastAsia="ru-RU"/>
        </w:rPr>
        <w:t>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secţia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administrativ-militară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Evghen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Gorodenco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Secţia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administrativ-militară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bdr w:val="none" w:sz="0" w:space="0" w:color="auto" w:frame="1"/>
          <w:lang w:val="ro-MD" w:eastAsia="ru-RU"/>
        </w:rPr>
        <w:t xml:space="preserve">8.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"https://singerei.md/wp-content/uploads/2025/02/IMSP-salariu-indicatori.docx"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u w:val="single"/>
          <w:bdr w:val="none" w:sz="0" w:space="0" w:color="auto" w:frame="1"/>
          <w:lang w:val="en-US" w:eastAsia="ru-RU"/>
        </w:rPr>
        <w:t> </w:t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la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stabilirea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salariului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funcție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suplimentului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personalul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conducere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al</w:t>
      </w:r>
      <w:r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Instituțiilor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Medico-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Sanitare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Publice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Aliona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Craciun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specialistă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principală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Juridică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Resurse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Umane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en-US" w:eastAsia="ru-RU"/>
        </w:rPr>
        <w:t xml:space="preserve">14. </w:t>
      </w:r>
      <w:hyperlink r:id="rId5" w:history="1"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Privind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transmiterea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activelor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(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materiale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de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construcție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) din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proprietatea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publică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(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Aparatul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Președintelui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Sîngerei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)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în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proprietatea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publică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statului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MAI, IGSU (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Direcția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Situații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Excepționale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mun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.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Bălți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)</w:t>
        </w:r>
      </w:hyperlink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Doagă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Financiar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Contabilă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16.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"https://singerei.md/wp-content/uploads/2025/02/3-16.docx"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 3/16 din 03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mai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2024 </w:t>
      </w:r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Vera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Serbușca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vicepreședinta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raionului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18.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"https://singerei.md/wp-content/uploads/2025/02/Parcul-logistic-2025.doc"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stabilirea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cuantumului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chiriei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,,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Parcului</w:t>
      </w:r>
      <w:proofErr w:type="spellEnd"/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Logistic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Agroindustrial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” com.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Noi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anul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2025</w:t>
      </w:r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Guzun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interimară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Economie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en-US" w:eastAsia="ru-RU"/>
        </w:rPr>
        <w:t xml:space="preserve">20. </w:t>
      </w:r>
      <w:hyperlink r:id="rId6" w:history="1"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Cu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modificarea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Deciziei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nr.9/11 din 30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decembrie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2024 ,, Cu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aprobarea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distanței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și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tarifului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pentru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deplasarea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 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tur-retur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între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domiciliu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și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locul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de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muncă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lucrătorilor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  medico-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sanitari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și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farmaceutici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”</w:t>
        </w:r>
      </w:hyperlink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Guzun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interimară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Economie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21.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"https://singerei.md/wp-content/uploads/2025/02/STRATEGIA-modificare.doc"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completarea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nr.7/6 din 10.12.2021 ,, 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,,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Strategiei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dezvoltare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socio-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economică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perioada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anilor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2021-2028”</w:t>
      </w:r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Guzun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interimară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Economie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22.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"https://singerei.md/wp-content/uploads/2025/02/MODIFICARE-Spital-Raional-Contract-tripartit.docx"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 2/26 din 11.03.2024 </w:t>
      </w:r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,,Cu</w:t>
      </w:r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încheierii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contractului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comodat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tripartit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)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între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Consiliul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, IMSP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Spitalul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Ministerul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Sănătății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calitate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Fondator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al IMSP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Spitalul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)”</w:t>
      </w:r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Guzun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interimară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Economie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lastRenderedPageBreak/>
        <w:t>23.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"https://singerei.md/wp-content/uploads/2025/02/CR-Odihna-de-vara-2025.docx"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organizarea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odihnei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vară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copiilor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adolescenților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sezonul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estival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2025</w:t>
      </w:r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Nicolae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Melinte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Educație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24.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"https://singerei.md/wp-content/uploads/2025/02/Casare-bunuri-uzate-Anton-Crihan.docx"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proofErr w:type="spellStart"/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autorizarea</w:t>
      </w:r>
      <w:proofErr w:type="spellEnd"/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casării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bunurilor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uzate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raportate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mijloace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fixe,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aflate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gestiunea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 I.P.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Gimnaziul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,,Anton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Crihan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’’ din or.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Nicolae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Melinte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Educație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25.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"https://singerei.md/wp-content/uploads/2025/02/Casare-bunuri-uzate-Pepeni.docx"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autorizarea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casării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bunurilor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uzate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raportate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mijloace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fixe,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aflate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gestiunea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I.P.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Liceul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Teoretic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„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Alexandru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Agapie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” din s.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Pepeni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r.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Nicolae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Melinte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Educație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26.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"https://singerei.md/wp-content/uploads/2025/02/Casare-Slobozia-Chiscareni.docx"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proofErr w:type="spellStart"/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autorizarea</w:t>
      </w:r>
      <w:proofErr w:type="spellEnd"/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casării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bunurilor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uzate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raportate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mijloace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fixe,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aflate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gestiunea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 I.P.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Gimnaziul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,,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Slobozia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Chișcăreni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’’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.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Nicolae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Melinte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Educație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27.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"https://singerei.md/wp-content/uploads/2025/02/Casare-bunuri-uzate-gimn.Ion-IGNATIUC.docx"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proofErr w:type="spellStart"/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autorizarea</w:t>
      </w:r>
      <w:proofErr w:type="spellEnd"/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casării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bunurilor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uzate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raportate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mijloace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fixe,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aflate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gestiunea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 I.P.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Gimnaziul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,,Ion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Ignatiuc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’’ din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s.Prepelita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r-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nul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Singerei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Nicolae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Melinte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Educație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28.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"https://singerei.md/wp-content/uploads/2025/02/2025CASAREA-Nota-infor.-si-proiect-de-decizie-casare-2025.doc"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la</w:t>
      </w:r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autorizarea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casării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bunurilor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uzate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raportate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mijloace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fixe,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aflate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gestiunea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Direcției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Educație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Nicolae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Melinte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Educație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29.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"https://singerei.md/wp-content/uploads/2025/02/Nota-inform-defrisare-L276.doc"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</w:t>
      </w:r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defri</w:t>
      </w:r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arborilor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tăierea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igienică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elagajul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artificial)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cadrul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efectuării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lucrărilor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întreținere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drumurilor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publice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locale,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gestionate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către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Consiliul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Minodora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Simonov,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Construcții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Drumuri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30.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"https://singerei.md/wp-content/uploads/2025/02/Modificare-8-23.doc"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Anexei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nr.1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Consiliului</w:t>
      </w:r>
      <w:proofErr w:type="spellEnd"/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 8/</w:t>
      </w:r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23  din</w:t>
      </w:r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28.11.2024  ,,Cu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Programului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lucrărilor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întreţinere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şi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reparaţie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drumurilor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publice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locale (de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interes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),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finanţate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din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mijloacele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financiare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prevăzute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bugetul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anul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2025”</w:t>
      </w:r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Minodora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Simonov,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Construcții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Drumuri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32. </w:t>
      </w:r>
      <w:hyperlink r:id="rId7" w:history="1"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Cu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aprobarea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repartizării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profitului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net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anual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 al Î.M. „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Centrul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Stomatologic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Singerei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” </w:t>
        </w:r>
      </w:hyperlink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bookmarkStart w:id="0" w:name="_GoBack"/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Rodica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Lopotencu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administratoarea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Î.M.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Centrul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Stomatologic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 </w:t>
      </w:r>
    </w:p>
    <w:bookmarkEnd w:id="0"/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jc w:val="center"/>
        <w:textAlignment w:val="center"/>
        <w:rPr>
          <w:rFonts w:ascii="inherit" w:hAnsi="inherit"/>
          <w:b/>
          <w:bCs/>
          <w:sz w:val="2"/>
          <w:szCs w:val="2"/>
          <w:lang w:val="en-US" w:eastAsia="ru-RU"/>
        </w:rPr>
      </w:pPr>
      <w:r w:rsidRPr="004742FD">
        <w:rPr>
          <w:rFonts w:ascii="inherit" w:hAnsi="inherit"/>
          <w:b/>
          <w:bCs/>
          <w:sz w:val="2"/>
          <w:szCs w:val="2"/>
          <w:lang w:val="en-US" w:eastAsia="ru-RU"/>
        </w:rPr>
        <w:t>    </w:t>
      </w:r>
    </w:p>
    <w:p w:rsidR="00B13E09" w:rsidRPr="004742FD" w:rsidRDefault="00B13E09" w:rsidP="004742FD">
      <w:pPr>
        <w:pStyle w:val="a3"/>
        <w:spacing w:before="35"/>
        <w:ind w:left="0" w:firstLine="0"/>
      </w:pPr>
    </w:p>
    <w:p w:rsidR="004742FD" w:rsidRPr="004742FD" w:rsidRDefault="004742FD">
      <w:pPr>
        <w:spacing w:line="274" w:lineRule="exact"/>
        <w:ind w:left="568"/>
        <w:jc w:val="both"/>
        <w:rPr>
          <w:b/>
          <w:sz w:val="24"/>
        </w:rPr>
      </w:pPr>
    </w:p>
    <w:sectPr w:rsidR="004742FD" w:rsidRPr="004742FD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2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4742FD"/>
    <w:rsid w:val="00B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gerei.md/wp-content/uploads/2025/02/Repartizare-profit-net-IM-Centrul-Stomat-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gerei.md/wp-content/uploads/2025/02/SAMU-tarife-modif.doc" TargetMode="External"/><Relationship Id="rId5" Type="http://schemas.openxmlformats.org/officeDocument/2006/relationships/hyperlink" Target="https://singerei.md/wp-content/uploads/2025/02/Situatii-Exeptionale-materiale-de-constructie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3</cp:revision>
  <dcterms:created xsi:type="dcterms:W3CDTF">2025-03-27T09:27:00Z</dcterms:created>
  <dcterms:modified xsi:type="dcterms:W3CDTF">2025-03-27T11:55:00Z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