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48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6660"/>
        <w:gridCol w:w="1620"/>
      </w:tblGrid>
      <w:tr w:rsidR="0097391E" w14:paraId="47D25865" w14:textId="77777777">
        <w:trPr>
          <w:trHeight w:val="1418"/>
        </w:trPr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50EDA" w14:textId="77777777" w:rsidR="0097391E" w:rsidRPr="00664A05" w:rsidRDefault="0097391E">
            <w:pPr>
              <w:jc w:val="center"/>
              <w:rPr>
                <w:b/>
                <w:sz w:val="28"/>
                <w:lang w:val="ro-RO"/>
              </w:rPr>
            </w:pPr>
          </w:p>
          <w:p w14:paraId="7227AAEB" w14:textId="77777777" w:rsidR="0097391E" w:rsidRDefault="00612395">
            <w:pPr>
              <w:rPr>
                <w:lang w:val="en-US"/>
              </w:rPr>
            </w:pPr>
            <w:r>
              <w:rPr>
                <w:noProof/>
                <w:lang w:val="ro-RO" w:eastAsia="ro-RO"/>
              </w:rPr>
              <w:drawing>
                <wp:anchor distT="0" distB="0" distL="114300" distR="114300" simplePos="0" relativeHeight="251660288" behindDoc="0" locked="0" layoutInCell="1" allowOverlap="0" wp14:anchorId="69F1E307" wp14:editId="7F9F6505">
                  <wp:simplePos x="0" y="0"/>
                  <wp:positionH relativeFrom="margin">
                    <wp:posOffset>120015</wp:posOffset>
                  </wp:positionH>
                  <wp:positionV relativeFrom="margin">
                    <wp:posOffset>219075</wp:posOffset>
                  </wp:positionV>
                  <wp:extent cx="569595" cy="685800"/>
                  <wp:effectExtent l="19050" t="0" r="190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4DE99" w14:textId="77777777" w:rsidR="0097391E" w:rsidRDefault="0097391E">
            <w:pPr>
              <w:pStyle w:val="1"/>
              <w:jc w:val="center"/>
              <w:rPr>
                <w:sz w:val="24"/>
                <w:szCs w:val="24"/>
              </w:rPr>
            </w:pPr>
          </w:p>
          <w:p w14:paraId="5F6C7CB4" w14:textId="77777777" w:rsidR="0097391E" w:rsidRPr="00D35035" w:rsidRDefault="00612395">
            <w:pPr>
              <w:pStyle w:val="1"/>
              <w:jc w:val="center"/>
              <w:rPr>
                <w:sz w:val="24"/>
                <w:szCs w:val="24"/>
                <w:lang w:val="pt-PT"/>
              </w:rPr>
            </w:pPr>
            <w:r w:rsidRPr="00D35035">
              <w:rPr>
                <w:sz w:val="24"/>
                <w:szCs w:val="24"/>
                <w:lang w:val="pt-PT"/>
              </w:rPr>
              <w:t>REPUBLICA  MOLDOVA</w:t>
            </w:r>
          </w:p>
          <w:p w14:paraId="5FF8FF99" w14:textId="77777777" w:rsidR="0097391E" w:rsidRPr="00D35035" w:rsidRDefault="00612395">
            <w:pPr>
              <w:pStyle w:val="1"/>
              <w:jc w:val="center"/>
              <w:rPr>
                <w:sz w:val="24"/>
                <w:szCs w:val="24"/>
                <w:lang w:val="pt-PT"/>
              </w:rPr>
            </w:pPr>
            <w:r w:rsidRPr="00D35035">
              <w:rPr>
                <w:sz w:val="24"/>
                <w:szCs w:val="24"/>
                <w:lang w:val="pt-PT"/>
              </w:rPr>
              <w:t>CONSILIUL  RAIONAL</w:t>
            </w:r>
          </w:p>
          <w:p w14:paraId="6E72743C" w14:textId="77777777" w:rsidR="0097391E" w:rsidRDefault="00612395">
            <w:pPr>
              <w:jc w:val="center"/>
              <w:rPr>
                <w:b/>
                <w:lang w:val="ro-RO"/>
              </w:rPr>
            </w:pPr>
            <w:r w:rsidRPr="00D35035">
              <w:rPr>
                <w:b/>
                <w:lang w:val="pt-PT"/>
              </w:rPr>
              <w:t>S</w:t>
            </w:r>
            <w:r>
              <w:rPr>
                <w:b/>
                <w:lang w:val="ro-RO"/>
              </w:rPr>
              <w:t>ÎNGEREI</w:t>
            </w:r>
          </w:p>
          <w:p w14:paraId="37E211F7" w14:textId="77777777" w:rsidR="0097391E" w:rsidRPr="00D35035" w:rsidRDefault="00612395">
            <w:pPr>
              <w:jc w:val="center"/>
              <w:rPr>
                <w:lang w:val="pt-PT"/>
              </w:rPr>
            </w:pPr>
            <w:r>
              <w:rPr>
                <w:b/>
                <w:lang w:val="ro-RO"/>
              </w:rPr>
              <w:t xml:space="preserve">PREŞEDINTELE RAIONULUI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8076B" w14:textId="77777777" w:rsidR="0097391E" w:rsidRPr="00D35035" w:rsidRDefault="00612395">
            <w:pPr>
              <w:jc w:val="center"/>
              <w:rPr>
                <w:lang w:val="pt-PT"/>
              </w:rPr>
            </w:pPr>
            <w:r>
              <w:rPr>
                <w:noProof/>
                <w:lang w:val="ro-RO" w:eastAsia="ro-RO"/>
              </w:rPr>
              <w:drawing>
                <wp:anchor distT="0" distB="0" distL="114300" distR="114300" simplePos="0" relativeHeight="251659264" behindDoc="1" locked="0" layoutInCell="1" allowOverlap="1" wp14:anchorId="20F37D16" wp14:editId="381269AB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114300</wp:posOffset>
                  </wp:positionV>
                  <wp:extent cx="687070" cy="86614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8A19A24" w14:textId="77777777" w:rsidR="0097391E" w:rsidRDefault="0061239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ro-RO" w:eastAsia="ro-RO"/>
              </w:rPr>
              <w:drawing>
                <wp:inline distT="0" distB="0" distL="0" distR="0" wp14:anchorId="356C9333" wp14:editId="2157C958">
                  <wp:extent cx="496570" cy="62611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A34419" w14:textId="77777777" w:rsidR="0097391E" w:rsidRDefault="0097391E">
            <w:pPr>
              <w:rPr>
                <w:sz w:val="18"/>
                <w:szCs w:val="18"/>
                <w:lang w:val="en-US"/>
              </w:rPr>
            </w:pPr>
          </w:p>
          <w:p w14:paraId="747857EF" w14:textId="77777777" w:rsidR="0097391E" w:rsidRDefault="0097391E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97391E" w:rsidRPr="006F4352" w14:paraId="73F809E2" w14:textId="77777777">
        <w:trPr>
          <w:trHeight w:val="289"/>
        </w:trPr>
        <w:tc>
          <w:tcPr>
            <w:tcW w:w="9648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</w:tcPr>
          <w:p w14:paraId="6B95FC2C" w14:textId="5F3D659A" w:rsidR="0097391E" w:rsidRDefault="003E795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Serviciul agricultură</w:t>
            </w:r>
            <w:r w:rsidR="002E17F4">
              <w:rPr>
                <w:b/>
                <w:lang w:val="pt-PT"/>
              </w:rPr>
              <w:t xml:space="preserve"> și cadastru</w:t>
            </w:r>
          </w:p>
        </w:tc>
      </w:tr>
    </w:tbl>
    <w:p w14:paraId="0DA02482" w14:textId="77777777" w:rsidR="0097391E" w:rsidRPr="00D35035" w:rsidRDefault="00612395">
      <w:pPr>
        <w:spacing w:line="276" w:lineRule="auto"/>
        <w:rPr>
          <w:b/>
          <w:sz w:val="22"/>
          <w:szCs w:val="22"/>
          <w:lang w:val="pt-PT"/>
        </w:rPr>
      </w:pPr>
      <w:r w:rsidRPr="00D35035">
        <w:rPr>
          <w:b/>
          <w:sz w:val="22"/>
          <w:szCs w:val="22"/>
          <w:lang w:val="pt-PT"/>
        </w:rPr>
        <w:t>Nr. ________________</w:t>
      </w:r>
    </w:p>
    <w:p w14:paraId="53A53703" w14:textId="77777777" w:rsidR="0097391E" w:rsidRDefault="00612395">
      <w:pPr>
        <w:spacing w:line="276" w:lineRule="auto"/>
        <w:rPr>
          <w:sz w:val="22"/>
          <w:szCs w:val="22"/>
          <w:lang w:val="ro-RO"/>
        </w:rPr>
      </w:pPr>
      <w:r w:rsidRPr="00D35035">
        <w:rPr>
          <w:b/>
          <w:sz w:val="22"/>
          <w:szCs w:val="22"/>
          <w:lang w:val="pt-PT"/>
        </w:rPr>
        <w:t>din ______________ 202</w:t>
      </w:r>
      <w:r w:rsidR="00B86A97" w:rsidRPr="00D35035">
        <w:rPr>
          <w:b/>
          <w:sz w:val="22"/>
          <w:szCs w:val="22"/>
          <w:lang w:val="pt-PT"/>
        </w:rPr>
        <w:t>5</w:t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</w:p>
    <w:p w14:paraId="043C593E" w14:textId="77777777" w:rsidR="0097391E" w:rsidRDefault="00612395">
      <w:p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SECRETAR</w:t>
      </w:r>
      <w:r w:rsidR="000A3904">
        <w:rPr>
          <w:sz w:val="22"/>
          <w:szCs w:val="22"/>
          <w:lang w:val="ro-RO"/>
        </w:rPr>
        <w:t>A</w:t>
      </w:r>
      <w:r w:rsidRPr="00D35035">
        <w:rPr>
          <w:sz w:val="22"/>
          <w:szCs w:val="22"/>
          <w:lang w:val="pt-PT"/>
        </w:rPr>
        <w:t xml:space="preserve">   </w:t>
      </w:r>
      <w:r w:rsidR="00B86A97" w:rsidRPr="00D35035">
        <w:rPr>
          <w:sz w:val="22"/>
          <w:szCs w:val="22"/>
          <w:lang w:val="pt-PT"/>
        </w:rPr>
        <w:t xml:space="preserve"> interimar</w:t>
      </w:r>
      <w:r w:rsidR="000A3904" w:rsidRPr="00D35035">
        <w:rPr>
          <w:sz w:val="22"/>
          <w:szCs w:val="22"/>
          <w:lang w:val="pt-PT"/>
        </w:rPr>
        <w:t>ă</w:t>
      </w:r>
      <w:r w:rsidRPr="00D35035">
        <w:rPr>
          <w:sz w:val="22"/>
          <w:szCs w:val="22"/>
          <w:lang w:val="pt-PT"/>
        </w:rPr>
        <w:t xml:space="preserve">    </w:t>
      </w:r>
      <w:r>
        <w:rPr>
          <w:sz w:val="22"/>
          <w:szCs w:val="22"/>
          <w:lang w:val="ro-RO"/>
        </w:rPr>
        <w:t xml:space="preserve">                                                              </w:t>
      </w:r>
      <w:r w:rsidR="00E3757A">
        <w:rPr>
          <w:sz w:val="22"/>
          <w:szCs w:val="22"/>
          <w:lang w:val="ro-RO"/>
        </w:rPr>
        <w:t xml:space="preserve">                </w:t>
      </w:r>
      <w:r>
        <w:rPr>
          <w:sz w:val="22"/>
          <w:szCs w:val="22"/>
          <w:lang w:val="ro-RO"/>
        </w:rPr>
        <w:t xml:space="preserve">De acord </w:t>
      </w:r>
      <w:proofErr w:type="spellStart"/>
      <w:r>
        <w:rPr>
          <w:sz w:val="22"/>
          <w:szCs w:val="22"/>
          <w:lang w:val="ro-RO"/>
        </w:rPr>
        <w:t>şi</w:t>
      </w:r>
      <w:proofErr w:type="spellEnd"/>
      <w:r>
        <w:rPr>
          <w:sz w:val="22"/>
          <w:szCs w:val="22"/>
          <w:lang w:val="ro-RO"/>
        </w:rPr>
        <w:t xml:space="preserve"> dispun elaborarea  </w:t>
      </w:r>
      <w:r w:rsidR="000A3904">
        <w:rPr>
          <w:sz w:val="22"/>
          <w:szCs w:val="22"/>
          <w:lang w:val="ro-RO"/>
        </w:rPr>
        <w:t xml:space="preserve"> a </w:t>
      </w:r>
      <w:r>
        <w:rPr>
          <w:sz w:val="22"/>
          <w:szCs w:val="22"/>
          <w:lang w:val="ro-RO"/>
        </w:rPr>
        <w:t xml:space="preserve">Consiliului raional                                                                                                        </w:t>
      </w:r>
      <w:r w:rsidR="00E3757A">
        <w:rPr>
          <w:sz w:val="22"/>
          <w:szCs w:val="22"/>
          <w:lang w:val="ro-RO"/>
        </w:rPr>
        <w:t xml:space="preserve">  </w:t>
      </w:r>
      <w:r>
        <w:rPr>
          <w:sz w:val="22"/>
          <w:szCs w:val="22"/>
          <w:lang w:val="ro-RO"/>
        </w:rPr>
        <w:t xml:space="preserve"> proiectului de decizie </w:t>
      </w:r>
    </w:p>
    <w:p w14:paraId="1A384943" w14:textId="371EFAF3" w:rsidR="0097391E" w:rsidRDefault="006F4352">
      <w:pPr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MIHALIUC</w:t>
      </w:r>
      <w:r w:rsidR="006D3BAA">
        <w:rPr>
          <w:b/>
          <w:sz w:val="22"/>
          <w:szCs w:val="22"/>
          <w:lang w:val="ro-RO"/>
        </w:rPr>
        <w:t xml:space="preserve"> </w:t>
      </w:r>
      <w:r>
        <w:rPr>
          <w:b/>
          <w:sz w:val="22"/>
          <w:szCs w:val="22"/>
          <w:lang w:val="ro-RO"/>
        </w:rPr>
        <w:t xml:space="preserve"> Angela</w:t>
      </w:r>
      <w:r w:rsidR="00612395">
        <w:rPr>
          <w:b/>
          <w:sz w:val="22"/>
          <w:szCs w:val="22"/>
          <w:lang w:val="ro-RO"/>
        </w:rPr>
        <w:t xml:space="preserve">                                                                    </w:t>
      </w:r>
      <w:r w:rsidR="004B4F46">
        <w:rPr>
          <w:b/>
          <w:sz w:val="22"/>
          <w:szCs w:val="22"/>
          <w:lang w:val="ro-RO"/>
        </w:rPr>
        <w:t xml:space="preserve">                             </w:t>
      </w:r>
      <w:r w:rsidR="002C3533">
        <w:rPr>
          <w:b/>
          <w:sz w:val="22"/>
          <w:szCs w:val="22"/>
          <w:lang w:val="ro-RO"/>
        </w:rPr>
        <w:t xml:space="preserve">          </w:t>
      </w:r>
      <w:r w:rsidR="00A34DF6">
        <w:rPr>
          <w:b/>
          <w:sz w:val="22"/>
          <w:szCs w:val="22"/>
          <w:lang w:val="ro-RO"/>
        </w:rPr>
        <w:t>VICE</w:t>
      </w:r>
      <w:r w:rsidR="00612395">
        <w:rPr>
          <w:b/>
          <w:sz w:val="22"/>
          <w:szCs w:val="22"/>
          <w:lang w:val="ro-RO"/>
        </w:rPr>
        <w:t>PREŞEDINTE,</w:t>
      </w:r>
    </w:p>
    <w:p w14:paraId="7C5F497B" w14:textId="0D7EAB9C" w:rsidR="00480931" w:rsidRDefault="00612395">
      <w:pPr>
        <w:tabs>
          <w:tab w:val="left" w:pos="7088"/>
          <w:tab w:val="left" w:pos="7230"/>
        </w:tabs>
        <w:jc w:val="right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                                                                                                                                   </w:t>
      </w:r>
      <w:r w:rsidR="006F4352">
        <w:rPr>
          <w:b/>
          <w:sz w:val="22"/>
          <w:szCs w:val="22"/>
          <w:lang w:val="ro-RO"/>
        </w:rPr>
        <w:t xml:space="preserve"> </w:t>
      </w:r>
      <w:r w:rsidR="00A34DF6">
        <w:rPr>
          <w:b/>
          <w:sz w:val="22"/>
          <w:szCs w:val="22"/>
          <w:lang w:val="ro-RO"/>
        </w:rPr>
        <w:t>CEBOTARI Ivan</w:t>
      </w:r>
      <w:r>
        <w:rPr>
          <w:sz w:val="22"/>
          <w:szCs w:val="22"/>
          <w:lang w:val="ro-RO"/>
        </w:rPr>
        <w:tab/>
        <w:t xml:space="preserve">           </w:t>
      </w:r>
    </w:p>
    <w:p w14:paraId="6E92F216" w14:textId="77777777" w:rsidR="0097391E" w:rsidRDefault="006F3EA5">
      <w:pPr>
        <w:contextualSpacing/>
        <w:jc w:val="center"/>
        <w:rPr>
          <w:lang w:val="ro-RO"/>
        </w:rPr>
      </w:pPr>
      <w:r>
        <w:rPr>
          <w:b/>
          <w:lang w:val="ro-RO"/>
        </w:rPr>
        <w:t>NOTĂ DE FUNDAMENTARE</w:t>
      </w:r>
    </w:p>
    <w:p w14:paraId="165E2051" w14:textId="2589EF18" w:rsidR="009B08A9" w:rsidRPr="00FB7693" w:rsidRDefault="009B08A9" w:rsidP="00A86E8F">
      <w:pPr>
        <w:contextualSpacing/>
        <w:jc w:val="center"/>
        <w:rPr>
          <w:b/>
          <w:lang w:val="ro-RO"/>
        </w:rPr>
      </w:pPr>
      <w:r w:rsidRPr="00D35035">
        <w:rPr>
          <w:b/>
          <w:lang w:val="pt-PT"/>
        </w:rPr>
        <w:t xml:space="preserve">Cu privire la </w:t>
      </w:r>
      <w:r w:rsidRPr="00FB7693">
        <w:rPr>
          <w:b/>
          <w:lang w:val="ro-RO"/>
        </w:rPr>
        <w:t>acordul de dare în comodat a un</w:t>
      </w:r>
      <w:r w:rsidR="00F67891">
        <w:rPr>
          <w:b/>
          <w:lang w:val="ro-RO"/>
        </w:rPr>
        <w:t>ui</w:t>
      </w:r>
      <w:r w:rsidRPr="00FB7693">
        <w:rPr>
          <w:b/>
          <w:lang w:val="ro-RO"/>
        </w:rPr>
        <w:t xml:space="preserve"> </w:t>
      </w:r>
      <w:r w:rsidR="00F67891">
        <w:rPr>
          <w:b/>
          <w:lang w:val="ro-RO"/>
        </w:rPr>
        <w:t>spațiu</w:t>
      </w:r>
      <w:r w:rsidRPr="00FB7693">
        <w:rPr>
          <w:b/>
          <w:lang w:val="ro-RO"/>
        </w:rPr>
        <w:t>,</w:t>
      </w:r>
    </w:p>
    <w:p w14:paraId="340A93AD" w14:textId="77777777" w:rsidR="003D0063" w:rsidRDefault="009B08A9" w:rsidP="00A86E8F">
      <w:pPr>
        <w:contextualSpacing/>
        <w:jc w:val="center"/>
        <w:rPr>
          <w:rFonts w:eastAsiaTheme="minorHAnsi"/>
          <w:b/>
          <w:lang w:val="ro-RO"/>
        </w:rPr>
      </w:pPr>
      <w:r w:rsidRPr="00FB7693">
        <w:rPr>
          <w:b/>
          <w:lang w:val="ro-RO"/>
        </w:rPr>
        <w:t xml:space="preserve">proprietate publică a raionului </w:t>
      </w:r>
      <w:proofErr w:type="spellStart"/>
      <w:r w:rsidRPr="00FB7693">
        <w:rPr>
          <w:b/>
          <w:lang w:val="ro-RO"/>
        </w:rPr>
        <w:t>Sîngerei</w:t>
      </w:r>
      <w:proofErr w:type="spellEnd"/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98"/>
      </w:tblGrid>
      <w:tr w:rsidR="00E3757A" w:rsidRPr="001025A8" w14:paraId="0ECC4943" w14:textId="77777777" w:rsidTr="007734A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1BEE" w14:textId="77777777" w:rsidR="00E3757A" w:rsidRPr="00D35035" w:rsidRDefault="00E3757A" w:rsidP="007734A4">
            <w:pPr>
              <w:tabs>
                <w:tab w:val="left" w:pos="284"/>
                <w:tab w:val="left" w:pos="1196"/>
              </w:tabs>
              <w:jc w:val="both"/>
              <w:rPr>
                <w:b/>
                <w:color w:val="000000"/>
                <w:szCs w:val="22"/>
                <w:lang w:val="pt-PT" w:eastAsia="en-US"/>
              </w:rPr>
            </w:pPr>
            <w:r w:rsidRPr="00750FE2">
              <w:rPr>
                <w:b/>
                <w:color w:val="000000"/>
                <w:szCs w:val="22"/>
                <w:lang w:val="it-IT"/>
              </w:rPr>
              <w:t xml:space="preserve">1.  </w:t>
            </w:r>
            <w:r w:rsidRPr="00D35035">
              <w:rPr>
                <w:b/>
                <w:color w:val="000000"/>
                <w:szCs w:val="22"/>
                <w:lang w:val="pt-PT"/>
              </w:rPr>
              <w:t>Denumirea sau numele autorului şi, după caz, a/al participanţilor la elaborarea proiectului actului normativ</w:t>
            </w:r>
          </w:p>
        </w:tc>
      </w:tr>
      <w:tr w:rsidR="00E3757A" w:rsidRPr="001025A8" w14:paraId="3C595FFC" w14:textId="77777777" w:rsidTr="007734A4">
        <w:trPr>
          <w:trHeight w:val="1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53F9" w14:textId="491D6070" w:rsidR="00E3757A" w:rsidRPr="008E14E6" w:rsidRDefault="00E3757A" w:rsidP="00A86E8F">
            <w:pPr>
              <w:contextualSpacing/>
              <w:jc w:val="both"/>
              <w:rPr>
                <w:lang w:val="ro-RO"/>
              </w:rPr>
            </w:pPr>
            <w:r w:rsidRPr="00D35035">
              <w:rPr>
                <w:lang w:val="pt-PT"/>
              </w:rPr>
              <w:t>Proiectul de decizie</w:t>
            </w:r>
            <w:r>
              <w:rPr>
                <w:lang w:val="ro-RO"/>
              </w:rPr>
              <w:t xml:space="preserve"> </w:t>
            </w:r>
            <w:r>
              <w:rPr>
                <w:bCs/>
                <w:lang w:val="ro-RO"/>
              </w:rPr>
              <w:t>„</w:t>
            </w:r>
            <w:r w:rsidR="00A86E8F" w:rsidRPr="00D35035">
              <w:rPr>
                <w:lang w:val="pt-PT"/>
              </w:rPr>
              <w:t xml:space="preserve">Cu privire la </w:t>
            </w:r>
            <w:r w:rsidR="00A86E8F" w:rsidRPr="00A86E8F">
              <w:rPr>
                <w:lang w:val="ro-RO"/>
              </w:rPr>
              <w:t>acordul de dare în comodat a un</w:t>
            </w:r>
            <w:r w:rsidR="00ED037B">
              <w:rPr>
                <w:lang w:val="ro-RO"/>
              </w:rPr>
              <w:t>ei</w:t>
            </w:r>
            <w:r w:rsidR="00A86E8F" w:rsidRPr="00A86E8F">
              <w:rPr>
                <w:lang w:val="ro-RO"/>
              </w:rPr>
              <w:t xml:space="preserve"> încăperi,</w:t>
            </w:r>
            <w:r w:rsidR="00A86E8F">
              <w:rPr>
                <w:lang w:val="ro-RO"/>
              </w:rPr>
              <w:t xml:space="preserve"> </w:t>
            </w:r>
            <w:r w:rsidR="00A86E8F" w:rsidRPr="00A86E8F">
              <w:rPr>
                <w:lang w:val="ro-RO"/>
              </w:rPr>
              <w:t xml:space="preserve">proprietate publică a raionului </w:t>
            </w:r>
            <w:proofErr w:type="spellStart"/>
            <w:r w:rsidR="00A86E8F" w:rsidRPr="00A86E8F">
              <w:rPr>
                <w:lang w:val="ro-RO"/>
              </w:rPr>
              <w:t>Sîngerei</w:t>
            </w:r>
            <w:proofErr w:type="spellEnd"/>
            <w:r>
              <w:rPr>
                <w:lang w:val="ro-RO"/>
              </w:rPr>
              <w:t>”</w:t>
            </w:r>
            <w:r>
              <w:rPr>
                <w:b/>
                <w:lang w:val="ro-RO"/>
              </w:rPr>
              <w:t xml:space="preserve"> </w:t>
            </w:r>
            <w:r w:rsidRPr="008E14E6">
              <w:rPr>
                <w:lang w:val="ro-RO"/>
              </w:rPr>
              <w:t xml:space="preserve">este elaborat, de către </w:t>
            </w:r>
            <w:r w:rsidR="003E7950">
              <w:rPr>
                <w:lang w:val="ro-RO"/>
              </w:rPr>
              <w:t>Serviciul agricultură</w:t>
            </w:r>
            <w:r w:rsidRPr="008E14E6">
              <w:rPr>
                <w:lang w:val="ro-RO"/>
              </w:rPr>
              <w:t>.</w:t>
            </w:r>
          </w:p>
        </w:tc>
      </w:tr>
      <w:tr w:rsidR="00E3757A" w:rsidRPr="001025A8" w14:paraId="3A97901E" w14:textId="77777777" w:rsidTr="007734A4">
        <w:trPr>
          <w:trHeight w:val="1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08EF" w14:textId="77777777" w:rsidR="00E3757A" w:rsidRPr="00D35035" w:rsidRDefault="00E3757A" w:rsidP="007734A4">
            <w:pPr>
              <w:tabs>
                <w:tab w:val="left" w:pos="884"/>
                <w:tab w:val="left" w:pos="1196"/>
              </w:tabs>
              <w:jc w:val="both"/>
              <w:rPr>
                <w:b/>
                <w:color w:val="000000"/>
                <w:szCs w:val="22"/>
                <w:lang w:val="pt-PT" w:eastAsia="en-US"/>
              </w:rPr>
            </w:pPr>
            <w:r w:rsidRPr="00D35035">
              <w:rPr>
                <w:b/>
                <w:color w:val="000000"/>
                <w:szCs w:val="22"/>
                <w:lang w:val="pt-PT"/>
              </w:rPr>
              <w:t>2. Condiţiile ce au impus elaborarea proiectului actului normativ</w:t>
            </w:r>
          </w:p>
        </w:tc>
      </w:tr>
      <w:tr w:rsidR="00E3757A" w:rsidRPr="001025A8" w14:paraId="579A2611" w14:textId="77777777" w:rsidTr="007734A4">
        <w:trPr>
          <w:trHeight w:val="135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99D3" w14:textId="4663CA50" w:rsidR="00E3757A" w:rsidRPr="007E657C" w:rsidRDefault="00316880" w:rsidP="006574E1">
            <w:pPr>
              <w:contextualSpacing/>
              <w:jc w:val="both"/>
              <w:rPr>
                <w:color w:val="000000"/>
                <w:szCs w:val="22"/>
                <w:lang w:val="ro-RO"/>
              </w:rPr>
            </w:pPr>
            <w:r w:rsidRPr="00D35035">
              <w:rPr>
                <w:color w:val="000000"/>
                <w:szCs w:val="22"/>
                <w:lang w:val="pt-PT"/>
              </w:rPr>
              <w:t xml:space="preserve">   </w:t>
            </w:r>
            <w:r w:rsidR="00E3757A" w:rsidRPr="007E657C">
              <w:rPr>
                <w:color w:val="000000"/>
                <w:szCs w:val="22"/>
                <w:lang w:val="ro-RO"/>
              </w:rPr>
              <w:t xml:space="preserve">Proiectul de decizie </w:t>
            </w:r>
            <w:r w:rsidR="00E3757A" w:rsidRPr="00D35035">
              <w:rPr>
                <w:szCs w:val="22"/>
                <w:lang w:val="pt-PT"/>
              </w:rPr>
              <w:t>a fost elaborat urmare a prevederilor</w:t>
            </w:r>
            <w:r w:rsidR="00E3757A" w:rsidRPr="007E657C">
              <w:rPr>
                <w:szCs w:val="22"/>
                <w:lang w:val="ro-RO"/>
              </w:rPr>
              <w:t xml:space="preserve"> </w:t>
            </w:r>
            <w:r w:rsidR="00A86E8F" w:rsidRPr="00FB7693">
              <w:rPr>
                <w:lang w:val="ro-RO"/>
              </w:rPr>
              <w:t xml:space="preserve">43 alin. (1) lit. d), art. 77 alin. (2) al Legii privind administrația publică locală nr. 436/2006, art. 4 alin. (2) din Legea nr. 435/2006 privind descentralizarea administrativă, art. 9 alin. (2) lit. h), art. 17 al Legii nr. 121/2007 privind administrarea și </w:t>
            </w:r>
            <w:proofErr w:type="spellStart"/>
            <w:r w:rsidR="00A86E8F" w:rsidRPr="00FB7693">
              <w:rPr>
                <w:lang w:val="ro-RO"/>
              </w:rPr>
              <w:t>deetatizarea</w:t>
            </w:r>
            <w:proofErr w:type="spellEnd"/>
            <w:r w:rsidR="00A86E8F" w:rsidRPr="00FB7693">
              <w:rPr>
                <w:lang w:val="ro-RO"/>
              </w:rPr>
              <w:t xml:space="preserve"> proprietății publice, </w:t>
            </w:r>
            <w:r w:rsidR="00A86E8F" w:rsidRPr="00D35035">
              <w:rPr>
                <w:lang w:val="ro-RO"/>
              </w:rPr>
              <w:t xml:space="preserve">art. 1234-1241 din Codul Civil al RM nr. 1107/2002, </w:t>
            </w:r>
            <w:r w:rsidR="002259B2">
              <w:rPr>
                <w:lang w:val="ro-RO"/>
              </w:rPr>
              <w:t xml:space="preserve">art. 6 lit. </w:t>
            </w:r>
            <w:r w:rsidR="002259B2" w:rsidRPr="002259B2">
              <w:rPr>
                <w:lang w:val="ro-RO"/>
              </w:rPr>
              <w:t>e</w:t>
            </w:r>
            <w:r w:rsidR="002259B2" w:rsidRPr="002259B2">
              <w:rPr>
                <w:vertAlign w:val="superscript"/>
                <w:lang w:val="ro-RO"/>
              </w:rPr>
              <w:t>1</w:t>
            </w:r>
            <w:r w:rsidR="002259B2">
              <w:rPr>
                <w:lang w:val="ro-RO"/>
              </w:rPr>
              <w:t xml:space="preserve">) al </w:t>
            </w:r>
            <w:r w:rsidR="002259B2" w:rsidRPr="002259B2">
              <w:rPr>
                <w:lang w:val="ro-RO"/>
              </w:rPr>
              <w:t>Leg</w:t>
            </w:r>
            <w:r w:rsidR="002259B2">
              <w:rPr>
                <w:lang w:val="ro-RO"/>
              </w:rPr>
              <w:t>ii ocrotirii sănătății nr. 411/1995</w:t>
            </w:r>
            <w:r w:rsidR="00A86E8F" w:rsidRPr="00D35035">
              <w:rPr>
                <w:lang w:val="ro-RO"/>
              </w:rPr>
              <w:t xml:space="preserve">, </w:t>
            </w:r>
            <w:r w:rsidR="002259B2">
              <w:rPr>
                <w:lang w:val="ro-RO"/>
              </w:rPr>
              <w:t>d</w:t>
            </w:r>
            <w:r w:rsidR="00A86E8F" w:rsidRPr="00FB7693">
              <w:rPr>
                <w:lang w:val="ro-RO"/>
              </w:rPr>
              <w:t>emers</w:t>
            </w:r>
            <w:r w:rsidR="002259B2">
              <w:rPr>
                <w:lang w:val="ro-RO"/>
              </w:rPr>
              <w:t>ul</w:t>
            </w:r>
            <w:r w:rsidR="00A86E8F" w:rsidRPr="00FB7693">
              <w:rPr>
                <w:lang w:val="ro-RO"/>
              </w:rPr>
              <w:t xml:space="preserve"> IMSP </w:t>
            </w:r>
            <w:r w:rsidR="006E7F61">
              <w:rPr>
                <w:lang w:val="ro-RO"/>
              </w:rPr>
              <w:t xml:space="preserve">Spitalul raional </w:t>
            </w:r>
            <w:proofErr w:type="spellStart"/>
            <w:r w:rsidR="006E7F61">
              <w:rPr>
                <w:lang w:val="ro-RO"/>
              </w:rPr>
              <w:t>Sîngerei</w:t>
            </w:r>
            <w:proofErr w:type="spellEnd"/>
            <w:r w:rsidR="006E7F61">
              <w:rPr>
                <w:lang w:val="ro-RO"/>
              </w:rPr>
              <w:t xml:space="preserve"> </w:t>
            </w:r>
            <w:r w:rsidRPr="0062513A">
              <w:rPr>
                <w:lang w:val="ro-RO"/>
              </w:rPr>
              <w:t xml:space="preserve">nr. </w:t>
            </w:r>
            <w:r w:rsidR="001349B6">
              <w:rPr>
                <w:lang w:val="ro-RO"/>
              </w:rPr>
              <w:t>348</w:t>
            </w:r>
            <w:r w:rsidR="00A86E8F" w:rsidRPr="0062513A">
              <w:rPr>
                <w:lang w:val="ro-RO"/>
              </w:rPr>
              <w:t xml:space="preserve"> din </w:t>
            </w:r>
            <w:r w:rsidR="006E7F61" w:rsidRPr="0062513A">
              <w:rPr>
                <w:lang w:val="ro-RO"/>
              </w:rPr>
              <w:t>0</w:t>
            </w:r>
            <w:r w:rsidR="001349B6">
              <w:rPr>
                <w:lang w:val="ro-RO"/>
              </w:rPr>
              <w:t>4</w:t>
            </w:r>
            <w:r w:rsidRPr="0062513A">
              <w:rPr>
                <w:lang w:val="ro-RO"/>
              </w:rPr>
              <w:t>.0</w:t>
            </w:r>
            <w:r w:rsidR="001349B6">
              <w:rPr>
                <w:lang w:val="ro-RO"/>
              </w:rPr>
              <w:t>8</w:t>
            </w:r>
            <w:r w:rsidRPr="0062513A">
              <w:rPr>
                <w:lang w:val="ro-RO"/>
              </w:rPr>
              <w:t>.</w:t>
            </w:r>
            <w:r w:rsidR="00A86E8F" w:rsidRPr="0062513A">
              <w:rPr>
                <w:lang w:val="ro-RO"/>
              </w:rPr>
              <w:t>2025.</w:t>
            </w:r>
          </w:p>
        </w:tc>
      </w:tr>
      <w:tr w:rsidR="00E3757A" w:rsidRPr="00170DB0" w14:paraId="2AF8D6F1" w14:textId="77777777" w:rsidTr="007734A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4207" w14:textId="77777777" w:rsidR="00E3757A" w:rsidRPr="00750FE2" w:rsidRDefault="00E3757A" w:rsidP="007734A4">
            <w:pPr>
              <w:tabs>
                <w:tab w:val="left" w:pos="884"/>
                <w:tab w:val="left" w:pos="1196"/>
              </w:tabs>
              <w:jc w:val="both"/>
              <w:rPr>
                <w:b/>
                <w:color w:val="000000"/>
                <w:szCs w:val="22"/>
                <w:lang w:val="en-US" w:eastAsia="en-US"/>
              </w:rPr>
            </w:pPr>
            <w:r w:rsidRPr="00750FE2">
              <w:rPr>
                <w:b/>
                <w:color w:val="000000"/>
                <w:szCs w:val="22"/>
                <w:lang w:val="en-US"/>
              </w:rPr>
              <w:t xml:space="preserve">3. Obiectivele </w:t>
            </w:r>
            <w:proofErr w:type="spellStart"/>
            <w:r w:rsidRPr="00750FE2">
              <w:rPr>
                <w:b/>
                <w:color w:val="000000"/>
                <w:szCs w:val="22"/>
                <w:lang w:val="en-US"/>
              </w:rPr>
              <w:t>urmărite</w:t>
            </w:r>
            <w:proofErr w:type="spellEnd"/>
            <w:r w:rsidRPr="00750FE2">
              <w:rPr>
                <w:b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750FE2">
              <w:rPr>
                <w:b/>
                <w:color w:val="000000"/>
                <w:szCs w:val="22"/>
                <w:lang w:val="en-US"/>
              </w:rPr>
              <w:t>și</w:t>
            </w:r>
            <w:proofErr w:type="spellEnd"/>
            <w:r w:rsidRPr="00750FE2">
              <w:rPr>
                <w:b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750FE2">
              <w:rPr>
                <w:b/>
                <w:color w:val="000000"/>
                <w:szCs w:val="22"/>
                <w:lang w:val="en-US"/>
              </w:rPr>
              <w:t>soluțiile</w:t>
            </w:r>
            <w:proofErr w:type="spellEnd"/>
            <w:r w:rsidRPr="00750FE2">
              <w:rPr>
                <w:b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750FE2">
              <w:rPr>
                <w:b/>
                <w:color w:val="000000"/>
                <w:szCs w:val="22"/>
                <w:lang w:val="en-US"/>
              </w:rPr>
              <w:t>propuse</w:t>
            </w:r>
            <w:proofErr w:type="spellEnd"/>
          </w:p>
        </w:tc>
      </w:tr>
      <w:tr w:rsidR="00E3757A" w:rsidRPr="001025A8" w14:paraId="5D5AF598" w14:textId="77777777" w:rsidTr="007734A4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B192" w14:textId="6D773C35" w:rsidR="00E3757A" w:rsidRPr="009A523B" w:rsidRDefault="00E3757A" w:rsidP="006574E1">
            <w:pPr>
              <w:jc w:val="both"/>
              <w:rPr>
                <w:lang w:val="ro-RO"/>
              </w:rPr>
            </w:pPr>
            <w:r w:rsidRPr="00750FE2">
              <w:rPr>
                <w:color w:val="000000"/>
                <w:szCs w:val="22"/>
                <w:lang w:val="ro-RO"/>
              </w:rPr>
              <w:t xml:space="preserve">   </w:t>
            </w:r>
            <w:r w:rsidR="005C662A">
              <w:rPr>
                <w:lang w:val="ro-RO"/>
              </w:rPr>
              <w:t xml:space="preserve">IMSP </w:t>
            </w:r>
            <w:r w:rsidR="005A6483">
              <w:rPr>
                <w:lang w:val="ro-RO"/>
              </w:rPr>
              <w:t xml:space="preserve">Spitalul raional </w:t>
            </w:r>
            <w:proofErr w:type="spellStart"/>
            <w:r w:rsidR="005A6483">
              <w:rPr>
                <w:lang w:val="ro-RO"/>
              </w:rPr>
              <w:t>Sîngerei</w:t>
            </w:r>
            <w:proofErr w:type="spellEnd"/>
            <w:r w:rsidR="002A44FF">
              <w:rPr>
                <w:lang w:val="ro-RO"/>
              </w:rPr>
              <w:t xml:space="preserve"> </w:t>
            </w:r>
            <w:r w:rsidR="00235B87">
              <w:rPr>
                <w:lang w:val="ro-RO"/>
              </w:rPr>
              <w:t xml:space="preserve">a </w:t>
            </w:r>
            <w:r w:rsidR="002A44FF">
              <w:rPr>
                <w:lang w:val="ro-RO"/>
              </w:rPr>
              <w:t xml:space="preserve">formulat </w:t>
            </w:r>
            <w:r w:rsidR="00235B87">
              <w:rPr>
                <w:lang w:val="ro-RO"/>
              </w:rPr>
              <w:t xml:space="preserve">un demers </w:t>
            </w:r>
            <w:r w:rsidR="002A44FF">
              <w:rPr>
                <w:lang w:val="ro-RO"/>
              </w:rPr>
              <w:t xml:space="preserve">în baza adresării </w:t>
            </w:r>
            <w:r w:rsidR="001349B6">
              <w:rPr>
                <w:lang w:val="ro-RO"/>
              </w:rPr>
              <w:t xml:space="preserve">IMSP ,,Centrul de sănătate </w:t>
            </w:r>
            <w:proofErr w:type="spellStart"/>
            <w:r w:rsidR="001349B6">
              <w:rPr>
                <w:lang w:val="ro-RO"/>
              </w:rPr>
              <w:t>Sîngerei</w:t>
            </w:r>
            <w:proofErr w:type="spellEnd"/>
            <w:r w:rsidR="001349B6">
              <w:rPr>
                <w:lang w:val="ro-RO"/>
              </w:rPr>
              <w:t>”</w:t>
            </w:r>
            <w:r w:rsidR="002A44FF">
              <w:rPr>
                <w:lang w:val="ro-RO"/>
              </w:rPr>
              <w:t xml:space="preserve"> </w:t>
            </w:r>
            <w:r w:rsidR="001349B6">
              <w:rPr>
                <w:lang w:val="ro-RO"/>
              </w:rPr>
              <w:t>nr.</w:t>
            </w:r>
            <w:r w:rsidR="003B7967">
              <w:rPr>
                <w:lang w:val="ro-RO"/>
              </w:rPr>
              <w:t xml:space="preserve"> </w:t>
            </w:r>
            <w:r w:rsidR="001349B6">
              <w:rPr>
                <w:lang w:val="ro-RO"/>
              </w:rPr>
              <w:t>493 din</w:t>
            </w:r>
            <w:r w:rsidR="00FF42AD">
              <w:rPr>
                <w:lang w:val="ro-RO"/>
              </w:rPr>
              <w:t xml:space="preserve"> </w:t>
            </w:r>
            <w:r w:rsidR="001349B6">
              <w:rPr>
                <w:lang w:val="ro-RO"/>
              </w:rPr>
              <w:t>11</w:t>
            </w:r>
            <w:r w:rsidR="002A44FF">
              <w:rPr>
                <w:lang w:val="ro-RO"/>
              </w:rPr>
              <w:t>.0</w:t>
            </w:r>
            <w:r w:rsidR="001349B6">
              <w:rPr>
                <w:lang w:val="ro-RO"/>
              </w:rPr>
              <w:t>7</w:t>
            </w:r>
            <w:r w:rsidR="002A44FF">
              <w:rPr>
                <w:lang w:val="ro-RO"/>
              </w:rPr>
              <w:t>.2025</w:t>
            </w:r>
            <w:r w:rsidR="005A6483">
              <w:rPr>
                <w:lang w:val="ro-RO"/>
              </w:rPr>
              <w:t>, prin care</w:t>
            </w:r>
            <w:r w:rsidR="003E5C68">
              <w:rPr>
                <w:b/>
                <w:lang w:val="ro-RO"/>
              </w:rPr>
              <w:t xml:space="preserve"> </w:t>
            </w:r>
            <w:r w:rsidRPr="006E7F61">
              <w:rPr>
                <w:lang w:val="ro-RO"/>
              </w:rPr>
              <w:t>se soli</w:t>
            </w:r>
            <w:r w:rsidR="002A44FF">
              <w:rPr>
                <w:lang w:val="ro-RO"/>
              </w:rPr>
              <w:t>ci</w:t>
            </w:r>
            <w:r w:rsidRPr="006E7F61">
              <w:rPr>
                <w:lang w:val="ro-RO"/>
              </w:rPr>
              <w:t xml:space="preserve">tă acordul </w:t>
            </w:r>
            <w:r w:rsidR="005A6483" w:rsidRPr="005A6483">
              <w:rPr>
                <w:lang w:val="ro-RO"/>
              </w:rPr>
              <w:t xml:space="preserve">pentru transmiterea </w:t>
            </w:r>
            <w:r w:rsidR="00AE1D3D">
              <w:rPr>
                <w:lang w:val="ro-RO"/>
              </w:rPr>
              <w:t xml:space="preserve">în </w:t>
            </w:r>
            <w:proofErr w:type="spellStart"/>
            <w:r w:rsidR="00AE1D3D">
              <w:rPr>
                <w:lang w:val="ro-RO"/>
              </w:rPr>
              <w:t>sub</w:t>
            </w:r>
            <w:r w:rsidR="005A6483" w:rsidRPr="005A6483">
              <w:rPr>
                <w:lang w:val="ro-RO"/>
              </w:rPr>
              <w:t>comodat</w:t>
            </w:r>
            <w:proofErr w:type="spellEnd"/>
            <w:r w:rsidR="005A6483" w:rsidRPr="005A6483">
              <w:rPr>
                <w:lang w:val="ro-RO"/>
              </w:rPr>
              <w:t xml:space="preserve"> a spațiului</w:t>
            </w:r>
            <w:r w:rsidR="00C13A73">
              <w:rPr>
                <w:lang w:val="ro-RO"/>
              </w:rPr>
              <w:t xml:space="preserve"> </w:t>
            </w:r>
            <w:r w:rsidR="00744EEB">
              <w:rPr>
                <w:lang w:val="ro-RO"/>
              </w:rPr>
              <w:t>din cadrul</w:t>
            </w:r>
            <w:r w:rsidR="00744EEB" w:rsidRPr="005A6483">
              <w:rPr>
                <w:lang w:val="ro-RO"/>
              </w:rPr>
              <w:t xml:space="preserve"> IMSP Spitalul raional </w:t>
            </w:r>
            <w:proofErr w:type="spellStart"/>
            <w:r w:rsidR="00744EEB" w:rsidRPr="005A6483">
              <w:rPr>
                <w:lang w:val="ro-RO"/>
              </w:rPr>
              <w:t>Sîngerei</w:t>
            </w:r>
            <w:proofErr w:type="spellEnd"/>
            <w:r w:rsidR="00744EEB">
              <w:rPr>
                <w:lang w:val="ro-RO"/>
              </w:rPr>
              <w:t xml:space="preserve"> </w:t>
            </w:r>
            <w:r w:rsidR="00AC54CB">
              <w:rPr>
                <w:lang w:val="ro-RO"/>
              </w:rPr>
              <w:t xml:space="preserve">(nr. cadastral 7401502.203.01) </w:t>
            </w:r>
            <w:r w:rsidR="00C13A73">
              <w:rPr>
                <w:lang w:val="ro-RO"/>
              </w:rPr>
              <w:t xml:space="preserve">cu o suprafață de </w:t>
            </w:r>
            <w:r w:rsidR="000146D5">
              <w:rPr>
                <w:lang w:val="ro-RO"/>
              </w:rPr>
              <w:t>147</w:t>
            </w:r>
            <w:r w:rsidR="00C13A73">
              <w:rPr>
                <w:lang w:val="ro-RO"/>
              </w:rPr>
              <w:t xml:space="preserve"> m</w:t>
            </w:r>
            <w:r w:rsidR="00C13A73" w:rsidRPr="00C13A73">
              <w:rPr>
                <w:vertAlign w:val="superscript"/>
                <w:lang w:val="ro-RO"/>
              </w:rPr>
              <w:t>2</w:t>
            </w:r>
            <w:r w:rsidR="005A6483" w:rsidRPr="005A6483">
              <w:rPr>
                <w:lang w:val="ro-RO"/>
              </w:rPr>
              <w:t xml:space="preserve"> </w:t>
            </w:r>
            <w:r w:rsidR="00744EEB">
              <w:rPr>
                <w:lang w:val="ro-RO"/>
              </w:rPr>
              <w:t xml:space="preserve">către IMSP Centrul de Sănătate </w:t>
            </w:r>
            <w:proofErr w:type="spellStart"/>
            <w:r w:rsidR="00744EEB">
              <w:rPr>
                <w:lang w:val="ro-RO"/>
              </w:rPr>
              <w:t>Sîngerei</w:t>
            </w:r>
            <w:proofErr w:type="spellEnd"/>
            <w:r w:rsidR="00744EEB">
              <w:rPr>
                <w:lang w:val="ro-RO"/>
              </w:rPr>
              <w:t>, pentru activitatea</w:t>
            </w:r>
            <w:r w:rsidR="00AE1D3D">
              <w:rPr>
                <w:lang w:val="ro-RO"/>
              </w:rPr>
              <w:t xml:space="preserve"> Serviciul</w:t>
            </w:r>
            <w:r w:rsidR="00744EEB">
              <w:rPr>
                <w:lang w:val="ro-RO"/>
              </w:rPr>
              <w:t>ui</w:t>
            </w:r>
            <w:r w:rsidR="00AE1D3D">
              <w:rPr>
                <w:lang w:val="ro-RO"/>
              </w:rPr>
              <w:t xml:space="preserve"> </w:t>
            </w:r>
            <w:proofErr w:type="spellStart"/>
            <w:r w:rsidR="00AE1D3D">
              <w:rPr>
                <w:lang w:val="ro-RO"/>
              </w:rPr>
              <w:t>ftiziopneumologic</w:t>
            </w:r>
            <w:proofErr w:type="spellEnd"/>
            <w:r w:rsidR="0062513A">
              <w:rPr>
                <w:lang w:val="ro-RO"/>
              </w:rPr>
              <w:t xml:space="preserve">. </w:t>
            </w:r>
            <w:r w:rsidR="009A523B" w:rsidRPr="009A523B">
              <w:rPr>
                <w:lang w:val="ro-RO"/>
              </w:rPr>
              <w:t xml:space="preserve">Prin urmare, misiunea proiectului de decizie este de a acorda consimțământul pentru transmiterea în comodat </w:t>
            </w:r>
            <w:r w:rsidR="00403688">
              <w:rPr>
                <w:lang w:val="ro-RO"/>
              </w:rPr>
              <w:t xml:space="preserve">către </w:t>
            </w:r>
            <w:r w:rsidR="009A523B" w:rsidRPr="009A523B">
              <w:rPr>
                <w:lang w:val="ro-RO"/>
              </w:rPr>
              <w:t>IMSP</w:t>
            </w:r>
            <w:r w:rsidR="009A523B">
              <w:rPr>
                <w:lang w:val="ro-RO"/>
              </w:rPr>
              <w:t xml:space="preserve"> Centrul de Sănătate </w:t>
            </w:r>
            <w:proofErr w:type="spellStart"/>
            <w:r w:rsidR="009A523B">
              <w:rPr>
                <w:lang w:val="ro-RO"/>
              </w:rPr>
              <w:t>Sîngerei</w:t>
            </w:r>
            <w:proofErr w:type="spellEnd"/>
            <w:r w:rsidR="009A523B" w:rsidRPr="009A523B">
              <w:rPr>
                <w:lang w:val="ro-RO"/>
              </w:rPr>
              <w:t xml:space="preserve">, pe o perioadă de 3 ani, a spațiului identificat din cadrul IMSP Spitalul Raional </w:t>
            </w:r>
            <w:proofErr w:type="spellStart"/>
            <w:r w:rsidR="009A523B" w:rsidRPr="009A523B">
              <w:rPr>
                <w:lang w:val="ro-RO"/>
              </w:rPr>
              <w:t>Sîngerei</w:t>
            </w:r>
            <w:proofErr w:type="spellEnd"/>
            <w:r w:rsidR="009A523B" w:rsidRPr="009A523B">
              <w:rPr>
                <w:lang w:val="ro-RO"/>
              </w:rPr>
              <w:t xml:space="preserve">, în vederea organizării Serviciului </w:t>
            </w:r>
            <w:proofErr w:type="spellStart"/>
            <w:r w:rsidR="009A523B" w:rsidRPr="009A523B">
              <w:rPr>
                <w:lang w:val="ro-RO"/>
              </w:rPr>
              <w:t>ftiziopneumologic</w:t>
            </w:r>
            <w:proofErr w:type="spellEnd"/>
            <w:r w:rsidR="009A523B" w:rsidRPr="009A523B">
              <w:rPr>
                <w:lang w:val="ro-RO"/>
              </w:rPr>
              <w:t>.</w:t>
            </w:r>
          </w:p>
        </w:tc>
      </w:tr>
      <w:tr w:rsidR="00E3757A" w:rsidRPr="00750FE2" w14:paraId="01E0EC37" w14:textId="77777777" w:rsidTr="007734A4">
        <w:trPr>
          <w:trHeight w:val="1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B3F8" w14:textId="77777777" w:rsidR="00E3757A" w:rsidRPr="00750FE2" w:rsidRDefault="00E3757A" w:rsidP="007734A4">
            <w:pPr>
              <w:pStyle w:val="msonormalcxspmiddle"/>
              <w:jc w:val="both"/>
              <w:rPr>
                <w:b/>
                <w:color w:val="000000"/>
                <w:lang w:val="ro-RO"/>
              </w:rPr>
            </w:pPr>
            <w:r w:rsidRPr="00750FE2">
              <w:rPr>
                <w:b/>
                <w:color w:val="000000"/>
              </w:rPr>
              <w:t xml:space="preserve">4. </w:t>
            </w:r>
            <w:r w:rsidRPr="00750FE2">
              <w:rPr>
                <w:b/>
                <w:color w:val="000000"/>
                <w:lang w:val="ro-RO"/>
              </w:rPr>
              <w:t>Analiza impactului de reglementare</w:t>
            </w:r>
          </w:p>
        </w:tc>
      </w:tr>
      <w:tr w:rsidR="00E3757A" w:rsidRPr="001025A8" w14:paraId="2B23FE5C" w14:textId="77777777" w:rsidTr="007734A4">
        <w:trPr>
          <w:trHeight w:val="4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B985" w14:textId="77777777" w:rsidR="00E3757A" w:rsidRPr="00D35035" w:rsidRDefault="00E3757A" w:rsidP="007734A4">
            <w:pPr>
              <w:pStyle w:val="11"/>
              <w:jc w:val="both"/>
              <w:rPr>
                <w:color w:val="000000"/>
                <w:sz w:val="24"/>
                <w:szCs w:val="24"/>
                <w:lang w:val="pt-PT"/>
              </w:rPr>
            </w:pPr>
            <w:r w:rsidRPr="00D350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/>
              </w:rPr>
              <w:t xml:space="preserve">   </w:t>
            </w:r>
            <w:r w:rsidRPr="00D35035">
              <w:rPr>
                <w:rFonts w:ascii="Times New Roman" w:hAnsi="Times New Roman"/>
                <w:color w:val="000000"/>
                <w:sz w:val="24"/>
                <w:szCs w:val="24"/>
                <w:lang w:val="pt-PT"/>
              </w:rPr>
              <w:t>Proiectul de decizie nu înregistrează careva impacturi, costuri și respectiv nu necesită alocarea mijloacelor financiare suplimentare din bugetul raional.</w:t>
            </w:r>
            <w:r w:rsidRPr="00D350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/>
              </w:rPr>
              <w:t xml:space="preserve"> </w:t>
            </w:r>
          </w:p>
        </w:tc>
      </w:tr>
      <w:tr w:rsidR="00E3757A" w:rsidRPr="001025A8" w14:paraId="57ADEFD4" w14:textId="77777777" w:rsidTr="007734A4">
        <w:trPr>
          <w:trHeight w:val="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CE24" w14:textId="77777777" w:rsidR="00E3757A" w:rsidRPr="00D35035" w:rsidRDefault="00E3757A" w:rsidP="007734A4">
            <w:pPr>
              <w:pStyle w:val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/>
              </w:rPr>
            </w:pPr>
            <w:r w:rsidRPr="00D35035">
              <w:rPr>
                <w:rFonts w:ascii="Times New Roman" w:hAnsi="Times New Roman"/>
                <w:b/>
                <w:color w:val="000000"/>
                <w:sz w:val="24"/>
                <w:szCs w:val="24"/>
                <w:lang w:val="pt-PT"/>
              </w:rPr>
              <w:t xml:space="preserve">5. Compatibilitatea proiectului actului normative cu legislația UE - </w:t>
            </w:r>
            <w:r w:rsidRPr="00750FE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„Nu este aplicabil”.</w:t>
            </w:r>
          </w:p>
        </w:tc>
      </w:tr>
      <w:tr w:rsidR="00E3757A" w:rsidRPr="001025A8" w14:paraId="2B22B882" w14:textId="77777777" w:rsidTr="007734A4">
        <w:trPr>
          <w:trHeight w:val="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6D0F" w14:textId="77777777" w:rsidR="00E3757A" w:rsidRPr="00D35035" w:rsidRDefault="00E3757A" w:rsidP="007734A4">
            <w:pPr>
              <w:pStyle w:val="11"/>
              <w:rPr>
                <w:rFonts w:ascii="Times New Roman" w:hAnsi="Times New Roman"/>
                <w:b/>
                <w:color w:val="000000"/>
                <w:sz w:val="24"/>
                <w:szCs w:val="24"/>
                <w:lang w:val="pt-PT"/>
              </w:rPr>
            </w:pPr>
            <w:r w:rsidRPr="00D35035">
              <w:rPr>
                <w:rFonts w:ascii="Times New Roman" w:hAnsi="Times New Roman"/>
                <w:b/>
                <w:color w:val="000000"/>
                <w:sz w:val="24"/>
                <w:szCs w:val="24"/>
                <w:lang w:val="pt-PT"/>
              </w:rPr>
              <w:t xml:space="preserve">6. Avizarea și consultarea publică a proiectului actului normative - </w:t>
            </w:r>
            <w:r w:rsidRPr="00750FE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„Nu este aplicabil”.</w:t>
            </w:r>
          </w:p>
        </w:tc>
      </w:tr>
      <w:tr w:rsidR="00E3757A" w:rsidRPr="001025A8" w14:paraId="09BD7FE7" w14:textId="77777777" w:rsidTr="007734A4">
        <w:trPr>
          <w:trHeight w:val="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27D1" w14:textId="77777777" w:rsidR="00E3757A" w:rsidRPr="00D35035" w:rsidRDefault="00E3757A" w:rsidP="007734A4">
            <w:pPr>
              <w:pStyle w:val="11"/>
              <w:rPr>
                <w:rFonts w:ascii="Times New Roman" w:hAnsi="Times New Roman"/>
                <w:b/>
                <w:color w:val="000000"/>
                <w:sz w:val="24"/>
                <w:szCs w:val="24"/>
                <w:lang w:val="pt-PT"/>
              </w:rPr>
            </w:pPr>
            <w:r w:rsidRPr="00D35035">
              <w:rPr>
                <w:rFonts w:ascii="Times New Roman" w:hAnsi="Times New Roman"/>
                <w:b/>
                <w:color w:val="000000"/>
                <w:sz w:val="24"/>
                <w:szCs w:val="24"/>
                <w:lang w:val="pt-PT"/>
              </w:rPr>
              <w:t xml:space="preserve">7. Concluziile expertizelor - </w:t>
            </w:r>
            <w:r w:rsidRPr="00750FE2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„Nu este aplicabil”.</w:t>
            </w:r>
          </w:p>
        </w:tc>
      </w:tr>
      <w:tr w:rsidR="00E3757A" w:rsidRPr="001025A8" w14:paraId="51C976BD" w14:textId="77777777" w:rsidTr="007734A4">
        <w:trPr>
          <w:trHeight w:val="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87E0" w14:textId="77777777" w:rsidR="00E3757A" w:rsidRPr="00D35035" w:rsidRDefault="00E3757A" w:rsidP="00B76288">
            <w:pPr>
              <w:tabs>
                <w:tab w:val="left" w:pos="884"/>
                <w:tab w:val="left" w:pos="1196"/>
              </w:tabs>
              <w:jc w:val="both"/>
              <w:rPr>
                <w:b/>
                <w:color w:val="000000"/>
                <w:lang w:val="pt-PT" w:eastAsia="en-US"/>
              </w:rPr>
            </w:pPr>
            <w:r w:rsidRPr="00D35035">
              <w:rPr>
                <w:b/>
                <w:color w:val="000000"/>
                <w:lang w:val="pt-PT"/>
              </w:rPr>
              <w:t xml:space="preserve">8. Modul de încorporare a actului în cadrul normativ existent </w:t>
            </w:r>
          </w:p>
        </w:tc>
      </w:tr>
      <w:tr w:rsidR="00E3757A" w:rsidRPr="001025A8" w14:paraId="133EDE4C" w14:textId="77777777" w:rsidTr="007734A4"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0CBF" w14:textId="77777777" w:rsidR="00E3757A" w:rsidRPr="00D35035" w:rsidRDefault="00E3757A" w:rsidP="00B76288">
            <w:pPr>
              <w:tabs>
                <w:tab w:val="left" w:pos="884"/>
                <w:tab w:val="left" w:pos="1196"/>
              </w:tabs>
              <w:ind w:firstLine="360"/>
              <w:jc w:val="both"/>
              <w:rPr>
                <w:color w:val="000000"/>
                <w:lang w:val="pt-PT" w:eastAsia="en-US"/>
              </w:rPr>
            </w:pPr>
            <w:r w:rsidRPr="00D35035">
              <w:rPr>
                <w:color w:val="000000"/>
                <w:lang w:val="pt-PT"/>
              </w:rPr>
              <w:t>Proiectul de decizie nu necesită modificarea și/sau completarea unor acte normative.</w:t>
            </w:r>
          </w:p>
        </w:tc>
      </w:tr>
      <w:tr w:rsidR="00E3757A" w:rsidRPr="001025A8" w14:paraId="2D23D62F" w14:textId="77777777" w:rsidTr="00B76288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B417" w14:textId="77777777" w:rsidR="00E3757A" w:rsidRPr="00D35035" w:rsidRDefault="00E3757A" w:rsidP="00B76288">
            <w:pPr>
              <w:tabs>
                <w:tab w:val="left" w:pos="884"/>
                <w:tab w:val="left" w:pos="1196"/>
              </w:tabs>
              <w:jc w:val="both"/>
              <w:rPr>
                <w:color w:val="000000"/>
                <w:lang w:val="pt-PT"/>
              </w:rPr>
            </w:pPr>
            <w:r w:rsidRPr="00D35035">
              <w:rPr>
                <w:b/>
                <w:color w:val="000000"/>
                <w:lang w:val="pt-PT"/>
              </w:rPr>
              <w:t xml:space="preserve">9. Măsurile necesare pentru implementarea prevederilor proiectului actului normative - </w:t>
            </w:r>
            <w:r w:rsidRPr="00750FE2">
              <w:rPr>
                <w:color w:val="000000"/>
                <w:lang w:val="ro-RO"/>
              </w:rPr>
              <w:t>„Nu este aplicabil”.</w:t>
            </w:r>
          </w:p>
        </w:tc>
      </w:tr>
    </w:tbl>
    <w:p w14:paraId="52DC9E6B" w14:textId="77777777" w:rsidR="00B76288" w:rsidRDefault="00B76288" w:rsidP="00B76288">
      <w:pPr>
        <w:framePr w:hSpace="180" w:wrap="around" w:vAnchor="text" w:hAnchor="margin" w:y="120"/>
        <w:contextualSpacing/>
        <w:jc w:val="right"/>
        <w:rPr>
          <w:lang w:val="it-IT"/>
        </w:rPr>
      </w:pPr>
      <w:r w:rsidRPr="00D35035">
        <w:rPr>
          <w:lang w:val="pt-PT"/>
        </w:rPr>
        <w:t>Întocmit</w:t>
      </w:r>
    </w:p>
    <w:p w14:paraId="74B64470" w14:textId="7E3EFFDF" w:rsidR="00B76288" w:rsidRPr="00D35035" w:rsidRDefault="00CE5E42" w:rsidP="00B76288">
      <w:pPr>
        <w:framePr w:hSpace="180" w:wrap="around" w:vAnchor="text" w:hAnchor="margin" w:y="120"/>
        <w:contextualSpacing/>
        <w:jc w:val="right"/>
        <w:rPr>
          <w:b/>
          <w:lang w:val="pt-PT"/>
        </w:rPr>
      </w:pPr>
      <w:r>
        <w:rPr>
          <w:b/>
          <w:lang w:val="pt-PT"/>
        </w:rPr>
        <w:t>Șef Serviciu agricultură</w:t>
      </w:r>
      <w:r w:rsidR="002E17F4">
        <w:rPr>
          <w:b/>
          <w:lang w:val="pt-PT"/>
        </w:rPr>
        <w:t xml:space="preserve"> și cadastru</w:t>
      </w:r>
    </w:p>
    <w:p w14:paraId="0F6C672A" w14:textId="030EC89B" w:rsidR="00B76288" w:rsidRPr="00D35035" w:rsidRDefault="00CE5E42" w:rsidP="00B76288">
      <w:pPr>
        <w:framePr w:hSpace="180" w:wrap="around" w:vAnchor="text" w:hAnchor="margin" w:y="120"/>
        <w:contextualSpacing/>
        <w:jc w:val="right"/>
        <w:rPr>
          <w:b/>
          <w:lang w:val="pt-PT"/>
        </w:rPr>
      </w:pPr>
      <w:r>
        <w:rPr>
          <w:b/>
          <w:lang w:val="pt-PT"/>
        </w:rPr>
        <w:t>Ion HARABAGIU</w:t>
      </w:r>
    </w:p>
    <w:p w14:paraId="4CBE6E14" w14:textId="77777777" w:rsidR="00B76288" w:rsidRDefault="00B76288" w:rsidP="00B76288">
      <w:pPr>
        <w:framePr w:hSpace="180" w:wrap="around" w:vAnchor="text" w:hAnchor="margin" w:y="120"/>
        <w:contextualSpacing/>
        <w:jc w:val="right"/>
        <w:rPr>
          <w:lang w:val="it-IT"/>
        </w:rPr>
      </w:pPr>
      <w:r>
        <w:rPr>
          <w:b/>
          <w:lang w:val="en-US"/>
        </w:rPr>
        <w:t>________________</w:t>
      </w:r>
    </w:p>
    <w:p w14:paraId="4091DB78" w14:textId="77777777" w:rsidR="0097391E" w:rsidRDefault="0097391E" w:rsidP="00B76288">
      <w:pPr>
        <w:spacing w:line="276" w:lineRule="auto"/>
        <w:rPr>
          <w:lang w:val="en-US"/>
        </w:rPr>
      </w:pPr>
    </w:p>
    <w:p w14:paraId="369D5B24" w14:textId="77777777" w:rsidR="006D3BAA" w:rsidRDefault="006D3BAA">
      <w:pPr>
        <w:spacing w:line="276" w:lineRule="auto"/>
        <w:rPr>
          <w:lang w:val="en-US"/>
        </w:rPr>
      </w:pPr>
    </w:p>
    <w:p w14:paraId="4DBE5808" w14:textId="77777777" w:rsidR="0097391E" w:rsidRDefault="0097391E">
      <w:pPr>
        <w:rPr>
          <w:lang w:val="en-US"/>
        </w:rPr>
      </w:pPr>
    </w:p>
    <w:tbl>
      <w:tblPr>
        <w:tblpPr w:leftFromText="180" w:rightFromText="180" w:vertAnchor="text" w:horzAnchor="margin" w:tblpX="108" w:tblpY="9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6129"/>
        <w:gridCol w:w="1884"/>
      </w:tblGrid>
      <w:tr w:rsidR="007F7C33" w14:paraId="0799385D" w14:textId="77777777" w:rsidTr="00FB7693">
        <w:trPr>
          <w:trHeight w:val="1566"/>
        </w:trPr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41096" w14:textId="77777777" w:rsidR="007F7C33" w:rsidRDefault="007F7C33" w:rsidP="00FB7693">
            <w:pPr>
              <w:contextualSpacing/>
            </w:pPr>
            <w:r>
              <w:rPr>
                <w:noProof/>
                <w:lang w:val="ro-RO" w:eastAsia="ro-RO"/>
              </w:rPr>
              <w:lastRenderedPageBreak/>
              <w:drawing>
                <wp:anchor distT="0" distB="0" distL="114300" distR="114300" simplePos="0" relativeHeight="251662336" behindDoc="0" locked="0" layoutInCell="1" allowOverlap="0" wp14:anchorId="3FD40930" wp14:editId="44715692">
                  <wp:simplePos x="0" y="0"/>
                  <wp:positionH relativeFrom="margin">
                    <wp:posOffset>182880</wp:posOffset>
                  </wp:positionH>
                  <wp:positionV relativeFrom="margin">
                    <wp:posOffset>161925</wp:posOffset>
                  </wp:positionV>
                  <wp:extent cx="676275" cy="819150"/>
                  <wp:effectExtent l="19050" t="0" r="9525" b="0"/>
                  <wp:wrapNone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D10A0" w14:textId="77777777" w:rsidR="007F7C33" w:rsidRDefault="007F7C33" w:rsidP="00FB7693">
            <w:pPr>
              <w:pStyle w:val="1"/>
              <w:contextualSpacing/>
              <w:jc w:val="center"/>
              <w:rPr>
                <w:rFonts w:eastAsiaTheme="minorEastAsia"/>
                <w:sz w:val="24"/>
                <w:szCs w:val="24"/>
                <w:lang w:val="it-IT"/>
              </w:rPr>
            </w:pPr>
            <w:r>
              <w:rPr>
                <w:rFonts w:eastAsiaTheme="minorEastAsia"/>
                <w:sz w:val="24"/>
                <w:szCs w:val="24"/>
                <w:lang w:val="it-IT"/>
              </w:rPr>
              <w:t>REPUBLICA  MOLDOVA</w:t>
            </w:r>
          </w:p>
          <w:p w14:paraId="01B3A491" w14:textId="77777777" w:rsidR="007F7C33" w:rsidRDefault="007F7C33" w:rsidP="00FB7693">
            <w:pPr>
              <w:pStyle w:val="1"/>
              <w:contextualSpacing/>
              <w:jc w:val="center"/>
              <w:rPr>
                <w:rFonts w:eastAsiaTheme="minorEastAsia"/>
                <w:sz w:val="24"/>
                <w:szCs w:val="24"/>
                <w:lang w:val="it-IT"/>
              </w:rPr>
            </w:pPr>
          </w:p>
          <w:p w14:paraId="63BD0B5E" w14:textId="77777777" w:rsidR="007F7C33" w:rsidRDefault="007F7C33" w:rsidP="00FB7693">
            <w:pPr>
              <w:pStyle w:val="1"/>
              <w:contextualSpacing/>
              <w:jc w:val="center"/>
              <w:rPr>
                <w:rFonts w:eastAsiaTheme="minorEastAsia"/>
                <w:sz w:val="24"/>
                <w:szCs w:val="24"/>
                <w:lang w:val="it-IT"/>
              </w:rPr>
            </w:pPr>
            <w:r>
              <w:rPr>
                <w:rFonts w:eastAsiaTheme="minorEastAsia"/>
                <w:sz w:val="24"/>
                <w:szCs w:val="24"/>
                <w:lang w:val="it-IT"/>
              </w:rPr>
              <w:t>CONSILIUL  RAIONAL</w:t>
            </w:r>
          </w:p>
          <w:p w14:paraId="6669F3EF" w14:textId="77777777" w:rsidR="007F7C33" w:rsidRDefault="007F7C33" w:rsidP="00FB7693">
            <w:pPr>
              <w:pStyle w:val="1"/>
              <w:contextualSpacing/>
              <w:jc w:val="center"/>
              <w:rPr>
                <w:rFonts w:eastAsiaTheme="minorEastAsia"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</w:t>
            </w:r>
            <w:r>
              <w:rPr>
                <w:sz w:val="24"/>
                <w:szCs w:val="24"/>
                <w:lang w:val="ro-RO"/>
              </w:rPr>
              <w:t>ÎNGEREI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0000E" w14:textId="77777777" w:rsidR="007F7C33" w:rsidRDefault="007F7C33" w:rsidP="00FB7693">
            <w:pPr>
              <w:contextualSpacing/>
              <w:jc w:val="center"/>
              <w:rPr>
                <w:lang w:val="it-IT"/>
              </w:rPr>
            </w:pPr>
            <w:r>
              <w:rPr>
                <w:noProof/>
                <w:lang w:val="ro-RO" w:eastAsia="ro-RO"/>
              </w:rPr>
              <w:drawing>
                <wp:anchor distT="0" distB="0" distL="114300" distR="114300" simplePos="0" relativeHeight="251663360" behindDoc="1" locked="0" layoutInCell="1" allowOverlap="1" wp14:anchorId="4B12FA9A" wp14:editId="3224BE70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114300</wp:posOffset>
                  </wp:positionV>
                  <wp:extent cx="687070" cy="866140"/>
                  <wp:effectExtent l="19050" t="0" r="0" b="0"/>
                  <wp:wrapNone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866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5CEBF9A" w14:textId="77777777" w:rsidR="007F7C33" w:rsidRDefault="007F7C33" w:rsidP="00FB769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b/>
                <w:noProof/>
                <w:sz w:val="20"/>
                <w:szCs w:val="20"/>
                <w:lang w:val="ro-RO" w:eastAsia="ro-RO"/>
              </w:rPr>
              <w:drawing>
                <wp:inline distT="0" distB="0" distL="0" distR="0" wp14:anchorId="46AA9605" wp14:editId="194A14A9">
                  <wp:extent cx="666750" cy="838200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988" cy="881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C33" w:rsidRPr="006F4352" w14:paraId="43258756" w14:textId="77777777" w:rsidTr="00FB7693">
        <w:trPr>
          <w:trHeight w:val="58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</w:tcPr>
          <w:p w14:paraId="1C13EADB" w14:textId="77777777" w:rsidR="007F7C33" w:rsidRDefault="007F7C33" w:rsidP="00FB7693">
            <w:pPr>
              <w:contextualSpacing/>
              <w:rPr>
                <w:b/>
                <w:lang w:val="ro-RO"/>
              </w:rPr>
            </w:pPr>
          </w:p>
        </w:tc>
      </w:tr>
    </w:tbl>
    <w:p w14:paraId="11C5B56D" w14:textId="77777777" w:rsidR="006574E1" w:rsidRDefault="006574E1">
      <w:pPr>
        <w:pStyle w:val="1"/>
        <w:jc w:val="center"/>
        <w:rPr>
          <w:bCs/>
          <w:sz w:val="22"/>
          <w:szCs w:val="22"/>
          <w:lang w:val="fr-FR"/>
        </w:rPr>
      </w:pPr>
    </w:p>
    <w:p w14:paraId="68CDDF80" w14:textId="77777777" w:rsidR="0097391E" w:rsidRDefault="00612395">
      <w:pPr>
        <w:pStyle w:val="1"/>
        <w:jc w:val="center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PROIECT DE DECIZIE Nr. _____</w:t>
      </w:r>
    </w:p>
    <w:p w14:paraId="3D042796" w14:textId="77777777" w:rsidR="0097391E" w:rsidRPr="00D35035" w:rsidRDefault="00612395">
      <w:pPr>
        <w:jc w:val="center"/>
        <w:rPr>
          <w:b/>
          <w:bCs/>
          <w:sz w:val="22"/>
          <w:szCs w:val="22"/>
          <w:lang w:val="pt-PT"/>
        </w:rPr>
      </w:pPr>
      <w:r>
        <w:rPr>
          <w:b/>
          <w:bCs/>
          <w:sz w:val="22"/>
          <w:szCs w:val="22"/>
          <w:lang w:val="ro-RO"/>
        </w:rPr>
        <w:t>din “______”____________ 202</w:t>
      </w:r>
      <w:r w:rsidR="008615B4" w:rsidRPr="00D35035">
        <w:rPr>
          <w:b/>
          <w:bCs/>
          <w:sz w:val="22"/>
          <w:szCs w:val="22"/>
          <w:lang w:val="pt-PT"/>
        </w:rPr>
        <w:t>5</w:t>
      </w:r>
    </w:p>
    <w:p w14:paraId="636F8985" w14:textId="77777777" w:rsidR="00BD0DCB" w:rsidRDefault="00612395" w:rsidP="00CD1288">
      <w:pPr>
        <w:spacing w:line="360" w:lineRule="auto"/>
        <w:jc w:val="center"/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 xml:space="preserve">or. </w:t>
      </w:r>
      <w:proofErr w:type="spellStart"/>
      <w:r>
        <w:rPr>
          <w:b/>
          <w:bCs/>
          <w:sz w:val="22"/>
          <w:szCs w:val="22"/>
          <w:lang w:val="ro-RO"/>
        </w:rPr>
        <w:t>Sîngerei</w:t>
      </w:r>
      <w:proofErr w:type="spellEnd"/>
    </w:p>
    <w:p w14:paraId="48FB9FF6" w14:textId="77777777" w:rsidR="006574E1" w:rsidRPr="00D35035" w:rsidRDefault="006574E1" w:rsidP="006574E1">
      <w:pPr>
        <w:spacing w:line="276" w:lineRule="auto"/>
        <w:contextualSpacing/>
        <w:rPr>
          <w:b/>
          <w:lang w:val="pt-PT"/>
        </w:rPr>
      </w:pPr>
    </w:p>
    <w:p w14:paraId="783488BD" w14:textId="200C3098" w:rsidR="003D0063" w:rsidRPr="006574E1" w:rsidRDefault="003D0063" w:rsidP="006574E1">
      <w:pPr>
        <w:spacing w:line="276" w:lineRule="auto"/>
        <w:contextualSpacing/>
        <w:rPr>
          <w:b/>
          <w:lang w:val="ro-RO"/>
        </w:rPr>
      </w:pPr>
      <w:r w:rsidRPr="00D35035">
        <w:rPr>
          <w:b/>
          <w:lang w:val="pt-PT"/>
        </w:rPr>
        <w:t xml:space="preserve">Cu privire la </w:t>
      </w:r>
      <w:r w:rsidR="001554D5" w:rsidRPr="006574E1">
        <w:rPr>
          <w:b/>
          <w:lang w:val="ro-RO"/>
        </w:rPr>
        <w:t>acordul de dare în</w:t>
      </w:r>
      <w:r w:rsidRPr="006574E1">
        <w:rPr>
          <w:b/>
          <w:lang w:val="ro-RO"/>
        </w:rPr>
        <w:t xml:space="preserve"> </w:t>
      </w:r>
      <w:r w:rsidR="00664A05" w:rsidRPr="006574E1">
        <w:rPr>
          <w:b/>
          <w:lang w:val="ro-RO"/>
        </w:rPr>
        <w:t>comodat</w:t>
      </w:r>
      <w:r w:rsidR="001554D5" w:rsidRPr="006574E1">
        <w:rPr>
          <w:b/>
          <w:lang w:val="ro-RO"/>
        </w:rPr>
        <w:t xml:space="preserve"> a un</w:t>
      </w:r>
      <w:r w:rsidR="00CD1EF1">
        <w:rPr>
          <w:b/>
          <w:lang w:val="ro-RO"/>
        </w:rPr>
        <w:t>ui</w:t>
      </w:r>
      <w:r w:rsidR="001554D5" w:rsidRPr="006574E1">
        <w:rPr>
          <w:b/>
          <w:lang w:val="ro-RO"/>
        </w:rPr>
        <w:t xml:space="preserve"> </w:t>
      </w:r>
      <w:r w:rsidR="00CD1EF1">
        <w:rPr>
          <w:b/>
          <w:lang w:val="ro-RO"/>
        </w:rPr>
        <w:t>spațiu</w:t>
      </w:r>
      <w:r w:rsidR="00D167D2" w:rsidRPr="006574E1">
        <w:rPr>
          <w:b/>
          <w:lang w:val="ro-RO"/>
        </w:rPr>
        <w:t xml:space="preserve">, </w:t>
      </w:r>
    </w:p>
    <w:p w14:paraId="126EBBD7" w14:textId="77777777" w:rsidR="00D167D2" w:rsidRPr="006574E1" w:rsidRDefault="00D167D2" w:rsidP="006574E1">
      <w:pPr>
        <w:spacing w:line="276" w:lineRule="auto"/>
        <w:contextualSpacing/>
        <w:rPr>
          <w:rFonts w:eastAsiaTheme="minorHAnsi"/>
          <w:b/>
          <w:lang w:val="ro-RO"/>
        </w:rPr>
      </w:pPr>
      <w:r w:rsidRPr="006574E1">
        <w:rPr>
          <w:b/>
          <w:lang w:val="ro-RO"/>
        </w:rPr>
        <w:t xml:space="preserve">proprietate publică a raionului </w:t>
      </w:r>
      <w:proofErr w:type="spellStart"/>
      <w:r w:rsidRPr="006574E1">
        <w:rPr>
          <w:b/>
          <w:lang w:val="ro-RO"/>
        </w:rPr>
        <w:t>Sîngerei</w:t>
      </w:r>
      <w:proofErr w:type="spellEnd"/>
      <w:r w:rsidRPr="006574E1">
        <w:rPr>
          <w:b/>
          <w:lang w:val="ro-RO"/>
        </w:rPr>
        <w:t xml:space="preserve"> </w:t>
      </w:r>
    </w:p>
    <w:p w14:paraId="3D28E047" w14:textId="77777777" w:rsidR="00264696" w:rsidRPr="006574E1" w:rsidRDefault="00264696" w:rsidP="006574E1">
      <w:pPr>
        <w:spacing w:line="276" w:lineRule="auto"/>
        <w:contextualSpacing/>
        <w:rPr>
          <w:b/>
          <w:sz w:val="16"/>
          <w:lang w:val="ro-RO"/>
        </w:rPr>
      </w:pPr>
    </w:p>
    <w:p w14:paraId="6430CDF8" w14:textId="51A64460" w:rsidR="00061FFC" w:rsidRPr="006574E1" w:rsidRDefault="00264696" w:rsidP="006574E1">
      <w:pPr>
        <w:spacing w:line="276" w:lineRule="auto"/>
        <w:ind w:firstLine="567"/>
        <w:contextualSpacing/>
        <w:jc w:val="both"/>
        <w:rPr>
          <w:lang w:val="ro-RO"/>
        </w:rPr>
      </w:pPr>
      <w:r w:rsidRPr="006574E1">
        <w:rPr>
          <w:lang w:val="ro-RO"/>
        </w:rPr>
        <w:t xml:space="preserve">Având în vedere: Nota </w:t>
      </w:r>
      <w:r w:rsidR="007F7C33" w:rsidRPr="006574E1">
        <w:rPr>
          <w:lang w:val="ro-RO"/>
        </w:rPr>
        <w:t>de fundamentare</w:t>
      </w:r>
      <w:r w:rsidRPr="006574E1">
        <w:rPr>
          <w:lang w:val="ro-RO"/>
        </w:rPr>
        <w:t xml:space="preserve"> </w:t>
      </w:r>
      <w:r w:rsidR="0024109A" w:rsidRPr="006574E1">
        <w:rPr>
          <w:lang w:val="ro-RO"/>
        </w:rPr>
        <w:t>,,</w:t>
      </w:r>
      <w:r w:rsidR="001554D5" w:rsidRPr="00D35035">
        <w:rPr>
          <w:lang w:val="pt-PT"/>
        </w:rPr>
        <w:t xml:space="preserve">Cu privire la </w:t>
      </w:r>
      <w:r w:rsidR="001554D5" w:rsidRPr="006574E1">
        <w:rPr>
          <w:lang w:val="ro-RO"/>
        </w:rPr>
        <w:t>acordul de dare în comodat a un</w:t>
      </w:r>
      <w:r w:rsidR="00ED037B">
        <w:rPr>
          <w:lang w:val="ro-RO"/>
        </w:rPr>
        <w:t>ei</w:t>
      </w:r>
      <w:r w:rsidR="001554D5" w:rsidRPr="006574E1">
        <w:rPr>
          <w:lang w:val="ro-RO"/>
        </w:rPr>
        <w:t xml:space="preserve"> încăperi</w:t>
      </w:r>
      <w:r w:rsidR="00D167D2" w:rsidRPr="006574E1">
        <w:rPr>
          <w:lang w:val="ro-RO"/>
        </w:rPr>
        <w:t xml:space="preserve">, proprietate publică a raionului </w:t>
      </w:r>
      <w:proofErr w:type="spellStart"/>
      <w:r w:rsidR="00D167D2" w:rsidRPr="006574E1">
        <w:rPr>
          <w:lang w:val="ro-RO"/>
        </w:rPr>
        <w:t>Sîngerei</w:t>
      </w:r>
      <w:proofErr w:type="spellEnd"/>
      <w:r w:rsidRPr="006574E1">
        <w:rPr>
          <w:lang w:val="ro-RO"/>
        </w:rPr>
        <w:t>”</w:t>
      </w:r>
      <w:r w:rsidR="007F7C33" w:rsidRPr="006574E1">
        <w:rPr>
          <w:lang w:val="ro-RO"/>
        </w:rPr>
        <w:t>;</w:t>
      </w:r>
      <w:r w:rsidRPr="006574E1">
        <w:rPr>
          <w:lang w:val="ro-RO"/>
        </w:rPr>
        <w:t xml:space="preserve"> </w:t>
      </w:r>
    </w:p>
    <w:p w14:paraId="3F5A9C8E" w14:textId="2B746065" w:rsidR="00316880" w:rsidRPr="006574E1" w:rsidRDefault="00264696" w:rsidP="006574E1">
      <w:pPr>
        <w:spacing w:line="276" w:lineRule="auto"/>
        <w:ind w:firstLine="567"/>
        <w:contextualSpacing/>
        <w:jc w:val="both"/>
        <w:rPr>
          <w:lang w:val="ro-RO"/>
        </w:rPr>
      </w:pPr>
      <w:r w:rsidRPr="006574E1">
        <w:rPr>
          <w:lang w:val="ro-RO"/>
        </w:rPr>
        <w:t xml:space="preserve">În temeiul </w:t>
      </w:r>
      <w:r w:rsidR="00072433" w:rsidRPr="006574E1">
        <w:rPr>
          <w:lang w:val="ro-RO"/>
        </w:rPr>
        <w:t>art.</w:t>
      </w:r>
      <w:r w:rsidR="007F7C33" w:rsidRPr="006574E1">
        <w:rPr>
          <w:lang w:val="ro-RO"/>
        </w:rPr>
        <w:t xml:space="preserve"> 43 alin. (1) lit. d), art. </w:t>
      </w:r>
      <w:r w:rsidR="00072433" w:rsidRPr="006574E1">
        <w:rPr>
          <w:lang w:val="ro-RO"/>
        </w:rPr>
        <w:t xml:space="preserve">77 alin. (2) </w:t>
      </w:r>
      <w:r w:rsidR="00E8152F" w:rsidRPr="006574E1">
        <w:rPr>
          <w:lang w:val="ro-RO"/>
        </w:rPr>
        <w:t>al Legii privind a</w:t>
      </w:r>
      <w:r w:rsidRPr="006574E1">
        <w:rPr>
          <w:lang w:val="ro-RO"/>
        </w:rPr>
        <w:t>dmini</w:t>
      </w:r>
      <w:r w:rsidR="00E8152F" w:rsidRPr="006574E1">
        <w:rPr>
          <w:lang w:val="ro-RO"/>
        </w:rPr>
        <w:t>strația p</w:t>
      </w:r>
      <w:r w:rsidR="002A530B" w:rsidRPr="006574E1">
        <w:rPr>
          <w:lang w:val="ro-RO"/>
        </w:rPr>
        <w:t xml:space="preserve">ublică </w:t>
      </w:r>
      <w:r w:rsidR="00E8152F" w:rsidRPr="006574E1">
        <w:rPr>
          <w:lang w:val="ro-RO"/>
        </w:rPr>
        <w:t>l</w:t>
      </w:r>
      <w:r w:rsidR="002A530B" w:rsidRPr="006574E1">
        <w:rPr>
          <w:lang w:val="ro-RO"/>
        </w:rPr>
        <w:t>ocală nr. 436/</w:t>
      </w:r>
      <w:r w:rsidRPr="006574E1">
        <w:rPr>
          <w:lang w:val="ro-RO"/>
        </w:rPr>
        <w:t xml:space="preserve">2006, </w:t>
      </w:r>
      <w:r w:rsidR="00E65B98" w:rsidRPr="006574E1">
        <w:rPr>
          <w:lang w:val="ro-RO"/>
        </w:rPr>
        <w:t xml:space="preserve">art. 4 alin. (2) din Legea nr. 435/2006 privind descentralizarea administrativă, </w:t>
      </w:r>
      <w:r w:rsidR="00E8152F" w:rsidRPr="006574E1">
        <w:rPr>
          <w:lang w:val="ro-RO"/>
        </w:rPr>
        <w:t xml:space="preserve">art. 9 alin. (2) lit. h), </w:t>
      </w:r>
      <w:r w:rsidRPr="006574E1">
        <w:rPr>
          <w:lang w:val="ro-RO"/>
        </w:rPr>
        <w:t>art.</w:t>
      </w:r>
      <w:r w:rsidR="002A530B" w:rsidRPr="006574E1">
        <w:rPr>
          <w:lang w:val="ro-RO"/>
        </w:rPr>
        <w:t xml:space="preserve"> </w:t>
      </w:r>
      <w:r w:rsidRPr="006574E1">
        <w:rPr>
          <w:lang w:val="ro-RO"/>
        </w:rPr>
        <w:t>17</w:t>
      </w:r>
      <w:r w:rsidR="00072433" w:rsidRPr="006574E1">
        <w:rPr>
          <w:lang w:val="ro-RO"/>
        </w:rPr>
        <w:t xml:space="preserve"> al Legii</w:t>
      </w:r>
      <w:r w:rsidR="002A530B" w:rsidRPr="006574E1">
        <w:rPr>
          <w:lang w:val="ro-RO"/>
        </w:rPr>
        <w:t xml:space="preserve"> nr. 121/</w:t>
      </w:r>
      <w:r w:rsidRPr="006574E1">
        <w:rPr>
          <w:lang w:val="ro-RO"/>
        </w:rPr>
        <w:t xml:space="preserve">2007 </w:t>
      </w:r>
      <w:r w:rsidR="00D83083" w:rsidRPr="006574E1">
        <w:rPr>
          <w:lang w:val="ro-RO"/>
        </w:rPr>
        <w:t xml:space="preserve">privind </w:t>
      </w:r>
      <w:r w:rsidR="00847517" w:rsidRPr="006574E1">
        <w:rPr>
          <w:lang w:val="ro-RO"/>
        </w:rPr>
        <w:t>administrarea</w:t>
      </w:r>
      <w:r w:rsidR="00D83083" w:rsidRPr="006574E1">
        <w:rPr>
          <w:lang w:val="ro-RO"/>
        </w:rPr>
        <w:t xml:space="preserve"> și </w:t>
      </w:r>
      <w:proofErr w:type="spellStart"/>
      <w:r w:rsidR="00D83083" w:rsidRPr="006574E1">
        <w:rPr>
          <w:lang w:val="ro-RO"/>
        </w:rPr>
        <w:t>deeta</w:t>
      </w:r>
      <w:r w:rsidRPr="006574E1">
        <w:rPr>
          <w:lang w:val="ro-RO"/>
        </w:rPr>
        <w:t>tizarea</w:t>
      </w:r>
      <w:proofErr w:type="spellEnd"/>
      <w:r w:rsidRPr="006574E1">
        <w:rPr>
          <w:lang w:val="ro-RO"/>
        </w:rPr>
        <w:t xml:space="preserve"> propr</w:t>
      </w:r>
      <w:r w:rsidR="002A530B" w:rsidRPr="006574E1">
        <w:rPr>
          <w:lang w:val="ro-RO"/>
        </w:rPr>
        <w:t xml:space="preserve">ietății publice, </w:t>
      </w:r>
      <w:r w:rsidR="00930D40" w:rsidRPr="00D35035">
        <w:rPr>
          <w:lang w:val="ro-RO"/>
        </w:rPr>
        <w:t xml:space="preserve">art. 1234-1241 din Codul Civil al RM nr. 1107/2002, </w:t>
      </w:r>
      <w:r w:rsidR="00ED037B">
        <w:rPr>
          <w:lang w:val="ro-RO"/>
        </w:rPr>
        <w:t xml:space="preserve">art. 6 lit. </w:t>
      </w:r>
      <w:r w:rsidR="00ED037B" w:rsidRPr="002259B2">
        <w:rPr>
          <w:lang w:val="ro-RO"/>
        </w:rPr>
        <w:t>e</w:t>
      </w:r>
      <w:r w:rsidR="00ED037B" w:rsidRPr="002259B2">
        <w:rPr>
          <w:vertAlign w:val="superscript"/>
          <w:lang w:val="ro-RO"/>
        </w:rPr>
        <w:t>1</w:t>
      </w:r>
      <w:r w:rsidR="00ED037B">
        <w:rPr>
          <w:lang w:val="ro-RO"/>
        </w:rPr>
        <w:t xml:space="preserve">) al </w:t>
      </w:r>
      <w:r w:rsidR="00ED037B" w:rsidRPr="002259B2">
        <w:rPr>
          <w:lang w:val="ro-RO"/>
        </w:rPr>
        <w:t>Leg</w:t>
      </w:r>
      <w:r w:rsidR="00ED037B">
        <w:rPr>
          <w:lang w:val="ro-RO"/>
        </w:rPr>
        <w:t>ii ocrotirii sănătății nr. 411/1995</w:t>
      </w:r>
      <w:r w:rsidR="00ED037B" w:rsidRPr="00D35035">
        <w:rPr>
          <w:lang w:val="ro-RO"/>
        </w:rPr>
        <w:t xml:space="preserve">, </w:t>
      </w:r>
      <w:r w:rsidR="00ED037B">
        <w:rPr>
          <w:lang w:val="ro-RO"/>
        </w:rPr>
        <w:t>d</w:t>
      </w:r>
      <w:r w:rsidR="00ED037B" w:rsidRPr="00FB7693">
        <w:rPr>
          <w:lang w:val="ro-RO"/>
        </w:rPr>
        <w:t>emers</w:t>
      </w:r>
      <w:r w:rsidR="00ED037B">
        <w:rPr>
          <w:lang w:val="ro-RO"/>
        </w:rPr>
        <w:t>ul</w:t>
      </w:r>
      <w:r w:rsidR="00ED037B" w:rsidRPr="00FB7693">
        <w:rPr>
          <w:lang w:val="ro-RO"/>
        </w:rPr>
        <w:t xml:space="preserve"> IMSP </w:t>
      </w:r>
      <w:r w:rsidR="00560730">
        <w:rPr>
          <w:lang w:val="ro-RO"/>
        </w:rPr>
        <w:t>,,</w:t>
      </w:r>
      <w:r w:rsidR="00ED037B">
        <w:rPr>
          <w:lang w:val="ro-RO"/>
        </w:rPr>
        <w:t xml:space="preserve">Spitalul raional </w:t>
      </w:r>
      <w:proofErr w:type="spellStart"/>
      <w:r w:rsidR="00ED037B">
        <w:rPr>
          <w:lang w:val="ro-RO"/>
        </w:rPr>
        <w:t>Sîngerei</w:t>
      </w:r>
      <w:proofErr w:type="spellEnd"/>
      <w:r w:rsidR="00560730">
        <w:rPr>
          <w:lang w:val="ro-RO"/>
        </w:rPr>
        <w:t>”</w:t>
      </w:r>
      <w:r w:rsidR="00ED037B">
        <w:rPr>
          <w:lang w:val="ro-RO"/>
        </w:rPr>
        <w:t xml:space="preserve"> </w:t>
      </w:r>
      <w:r w:rsidR="00ED037B" w:rsidRPr="0062513A">
        <w:rPr>
          <w:lang w:val="ro-RO"/>
        </w:rPr>
        <w:t xml:space="preserve">nr. </w:t>
      </w:r>
      <w:r w:rsidR="00F90548">
        <w:rPr>
          <w:lang w:val="ro-RO"/>
        </w:rPr>
        <w:t>348</w:t>
      </w:r>
      <w:r w:rsidR="00ED037B" w:rsidRPr="0062513A">
        <w:rPr>
          <w:lang w:val="ro-RO"/>
        </w:rPr>
        <w:t xml:space="preserve"> din 0</w:t>
      </w:r>
      <w:r w:rsidR="00F90548">
        <w:rPr>
          <w:lang w:val="ro-RO"/>
        </w:rPr>
        <w:t>4</w:t>
      </w:r>
      <w:r w:rsidR="00ED037B" w:rsidRPr="0062513A">
        <w:rPr>
          <w:lang w:val="ro-RO"/>
        </w:rPr>
        <w:t>.0</w:t>
      </w:r>
      <w:r w:rsidR="00F90548">
        <w:rPr>
          <w:lang w:val="ro-RO"/>
        </w:rPr>
        <w:t>8</w:t>
      </w:r>
      <w:r w:rsidR="00ED037B" w:rsidRPr="0062513A">
        <w:rPr>
          <w:lang w:val="ro-RO"/>
        </w:rPr>
        <w:t>.2025</w:t>
      </w:r>
    </w:p>
    <w:p w14:paraId="1234B7EC" w14:textId="77777777" w:rsidR="007C0AF0" w:rsidRPr="006574E1" w:rsidRDefault="00612395" w:rsidP="006574E1">
      <w:pPr>
        <w:spacing w:line="276" w:lineRule="auto"/>
        <w:ind w:firstLine="567"/>
        <w:contextualSpacing/>
        <w:jc w:val="center"/>
        <w:rPr>
          <w:b/>
          <w:bCs/>
          <w:lang w:val="ro-RO"/>
        </w:rPr>
      </w:pPr>
      <w:r w:rsidRPr="006574E1">
        <w:rPr>
          <w:b/>
          <w:bCs/>
          <w:lang w:val="ro-RO"/>
        </w:rPr>
        <w:t>DECIDE:</w:t>
      </w:r>
    </w:p>
    <w:p w14:paraId="615599D5" w14:textId="208A6D08" w:rsidR="00A57132" w:rsidRPr="00424265" w:rsidRDefault="00462C8C" w:rsidP="00424265">
      <w:pPr>
        <w:pStyle w:val="a7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lang w:val="ro-RO"/>
        </w:rPr>
      </w:pPr>
      <w:r w:rsidRPr="006574E1">
        <w:rPr>
          <w:lang w:val="ro-RO"/>
        </w:rPr>
        <w:t xml:space="preserve">Se </w:t>
      </w:r>
      <w:r w:rsidR="00E65B98" w:rsidRPr="006574E1">
        <w:rPr>
          <w:lang w:val="ro-RO"/>
        </w:rPr>
        <w:t>permite</w:t>
      </w:r>
      <w:r w:rsidR="00F6529F" w:rsidRPr="006574E1">
        <w:rPr>
          <w:lang w:val="ro-RO"/>
        </w:rPr>
        <w:t xml:space="preserve"> </w:t>
      </w:r>
      <w:r w:rsidR="00424265" w:rsidRPr="00FB7693">
        <w:rPr>
          <w:lang w:val="ro-RO"/>
        </w:rPr>
        <w:t xml:space="preserve">IMSP </w:t>
      </w:r>
      <w:r w:rsidR="000A20DD">
        <w:rPr>
          <w:lang w:val="ro-RO"/>
        </w:rPr>
        <w:t>,,</w:t>
      </w:r>
      <w:r w:rsidR="00424265">
        <w:rPr>
          <w:lang w:val="ro-RO"/>
        </w:rPr>
        <w:t xml:space="preserve">Spitalul raional </w:t>
      </w:r>
      <w:proofErr w:type="spellStart"/>
      <w:r w:rsidR="00424265">
        <w:rPr>
          <w:lang w:val="ro-RO"/>
        </w:rPr>
        <w:t>Sîngerei</w:t>
      </w:r>
      <w:proofErr w:type="spellEnd"/>
      <w:r w:rsidR="000A20DD">
        <w:rPr>
          <w:lang w:val="ro-RO"/>
        </w:rPr>
        <w:t>”</w:t>
      </w:r>
      <w:r w:rsidR="00424265">
        <w:rPr>
          <w:lang w:val="ro-RO"/>
        </w:rPr>
        <w:t xml:space="preserve"> </w:t>
      </w:r>
      <w:r w:rsidR="00F6529F" w:rsidRPr="00424265">
        <w:rPr>
          <w:lang w:val="ro-RO"/>
        </w:rPr>
        <w:t xml:space="preserve">darea în comodat (folosință cu titlu gratuit) către </w:t>
      </w:r>
      <w:r w:rsidR="000A20DD">
        <w:rPr>
          <w:lang w:val="ro-RO"/>
        </w:rPr>
        <w:t xml:space="preserve">IMSP ,,Centrul de sănătate </w:t>
      </w:r>
      <w:proofErr w:type="spellStart"/>
      <w:r w:rsidR="000A20DD">
        <w:rPr>
          <w:lang w:val="ro-RO"/>
        </w:rPr>
        <w:t>Sîngerei</w:t>
      </w:r>
      <w:bookmarkStart w:id="0" w:name="_Hlk205384451"/>
      <w:proofErr w:type="spellEnd"/>
      <w:r w:rsidR="000A20DD">
        <w:rPr>
          <w:lang w:val="ro-RO"/>
        </w:rPr>
        <w:t>”</w:t>
      </w:r>
      <w:bookmarkEnd w:id="0"/>
      <w:r w:rsidR="00F6529F" w:rsidRPr="00424265">
        <w:rPr>
          <w:lang w:val="ro-RO"/>
        </w:rPr>
        <w:t>, pe un termen de 3 (trei) ani, a încăperii</w:t>
      </w:r>
      <w:bookmarkStart w:id="1" w:name="_Hlk192660373"/>
      <w:r w:rsidR="00E65B98" w:rsidRPr="00424265">
        <w:rPr>
          <w:lang w:val="ro-RO"/>
        </w:rPr>
        <w:t xml:space="preserve"> cu suprafața de </w:t>
      </w:r>
      <w:r w:rsidR="001E7EF9">
        <w:rPr>
          <w:lang w:val="ro-RO"/>
        </w:rPr>
        <w:t>147</w:t>
      </w:r>
      <w:r w:rsidR="00E65B98" w:rsidRPr="00424265">
        <w:rPr>
          <w:lang w:val="ro-RO"/>
        </w:rPr>
        <w:t xml:space="preserve"> m</w:t>
      </w:r>
      <w:r w:rsidR="003D0063" w:rsidRPr="00424265">
        <w:rPr>
          <w:vertAlign w:val="superscript"/>
          <w:lang w:val="ro-RO"/>
        </w:rPr>
        <w:t>2</w:t>
      </w:r>
      <w:r w:rsidR="004C3465">
        <w:rPr>
          <w:lang w:val="ro-RO"/>
        </w:rPr>
        <w:t>,</w:t>
      </w:r>
      <w:r w:rsidR="006B4F77" w:rsidRPr="00424265">
        <w:rPr>
          <w:vertAlign w:val="superscript"/>
          <w:lang w:val="ro-RO"/>
        </w:rPr>
        <w:t xml:space="preserve"> </w:t>
      </w:r>
      <w:r w:rsidR="00424265">
        <w:rPr>
          <w:lang w:val="ro-RO"/>
        </w:rPr>
        <w:t>din bunul imobil cu</w:t>
      </w:r>
      <w:r w:rsidR="006B4F77" w:rsidRPr="00424265">
        <w:rPr>
          <w:lang w:val="ro-RO"/>
        </w:rPr>
        <w:t xml:space="preserve"> nr. cadastral </w:t>
      </w:r>
      <w:r w:rsidR="00424265">
        <w:rPr>
          <w:lang w:val="ro-RO"/>
        </w:rPr>
        <w:t>7401502203.01.</w:t>
      </w:r>
    </w:p>
    <w:bookmarkEnd w:id="1"/>
    <w:p w14:paraId="73413B8F" w14:textId="4682C024" w:rsidR="00D66FE6" w:rsidRPr="006574E1" w:rsidRDefault="00D66FE6" w:rsidP="006574E1">
      <w:pPr>
        <w:pStyle w:val="a7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lang w:val="ro-RO"/>
        </w:rPr>
      </w:pPr>
      <w:r w:rsidRPr="006574E1">
        <w:rPr>
          <w:lang w:val="ro-RO"/>
        </w:rPr>
        <w:t xml:space="preserve">Se </w:t>
      </w:r>
      <w:r w:rsidR="001025A8">
        <w:rPr>
          <w:lang w:val="ro-RO"/>
        </w:rPr>
        <w:t>recomandă</w:t>
      </w:r>
      <w:r w:rsidRPr="006574E1">
        <w:rPr>
          <w:lang w:val="ro-RO"/>
        </w:rPr>
        <w:t xml:space="preserve"> </w:t>
      </w:r>
      <w:r w:rsidR="004C3465">
        <w:rPr>
          <w:lang w:val="ro-RO"/>
        </w:rPr>
        <w:t>directorul</w:t>
      </w:r>
      <w:r w:rsidR="001025A8">
        <w:rPr>
          <w:lang w:val="ro-RO"/>
        </w:rPr>
        <w:t>ui</w:t>
      </w:r>
      <w:r w:rsidR="004C3465">
        <w:rPr>
          <w:lang w:val="ro-RO"/>
        </w:rPr>
        <w:t xml:space="preserve"> </w:t>
      </w:r>
      <w:r w:rsidR="004C3465" w:rsidRPr="00FB7693">
        <w:rPr>
          <w:lang w:val="ro-RO"/>
        </w:rPr>
        <w:t xml:space="preserve">IMSP </w:t>
      </w:r>
      <w:r w:rsidR="00786A9C">
        <w:rPr>
          <w:lang w:val="ro-RO"/>
        </w:rPr>
        <w:t>,,</w:t>
      </w:r>
      <w:r w:rsidR="004C3465">
        <w:rPr>
          <w:lang w:val="ro-RO"/>
        </w:rPr>
        <w:t xml:space="preserve">Spitalul raional </w:t>
      </w:r>
      <w:proofErr w:type="spellStart"/>
      <w:r w:rsidR="004C3465">
        <w:rPr>
          <w:lang w:val="ro-RO"/>
        </w:rPr>
        <w:t>Sîngerei</w:t>
      </w:r>
      <w:proofErr w:type="spellEnd"/>
      <w:r w:rsidR="00786A9C">
        <w:rPr>
          <w:lang w:val="ro-RO"/>
        </w:rPr>
        <w:t>”</w:t>
      </w:r>
      <w:r w:rsidRPr="006574E1">
        <w:rPr>
          <w:lang w:val="ro-RO"/>
        </w:rPr>
        <w:t xml:space="preserve"> să încheie contract de comodat cu </w:t>
      </w:r>
      <w:r w:rsidR="00CA4737">
        <w:rPr>
          <w:lang w:val="ro-RO"/>
        </w:rPr>
        <w:t xml:space="preserve">IMSP ,,Centrul de sănătate </w:t>
      </w:r>
      <w:proofErr w:type="spellStart"/>
      <w:r w:rsidR="00CA4737">
        <w:rPr>
          <w:lang w:val="ro-RO"/>
        </w:rPr>
        <w:t>Sîngerei</w:t>
      </w:r>
      <w:proofErr w:type="spellEnd"/>
      <w:r w:rsidR="00CA4737">
        <w:rPr>
          <w:lang w:val="ro-RO"/>
        </w:rPr>
        <w:t>”</w:t>
      </w:r>
      <w:r w:rsidR="004C3465" w:rsidRPr="006574E1">
        <w:rPr>
          <w:lang w:val="ro-RO"/>
        </w:rPr>
        <w:t xml:space="preserve"> </w:t>
      </w:r>
      <w:r w:rsidRPr="006574E1">
        <w:rPr>
          <w:lang w:val="ro-RO"/>
        </w:rPr>
        <w:t>și să emită actele de predare-primire asupra bunu</w:t>
      </w:r>
      <w:r w:rsidR="004C3465">
        <w:rPr>
          <w:lang w:val="ro-RO"/>
        </w:rPr>
        <w:t>lui</w:t>
      </w:r>
      <w:r w:rsidRPr="006574E1">
        <w:rPr>
          <w:lang w:val="ro-RO"/>
        </w:rPr>
        <w:t xml:space="preserve"> menționat în pct.1 al prezentei decizii.</w:t>
      </w:r>
      <w:r w:rsidR="006574E1" w:rsidRPr="006574E1">
        <w:rPr>
          <w:lang w:val="ro-RO"/>
        </w:rPr>
        <w:t xml:space="preserve"> </w:t>
      </w:r>
      <w:r w:rsidRPr="006574E1">
        <w:rPr>
          <w:lang w:val="ro-RO"/>
        </w:rPr>
        <w:t xml:space="preserve">  </w:t>
      </w:r>
    </w:p>
    <w:p w14:paraId="2896CD6B" w14:textId="77777777" w:rsidR="00847517" w:rsidRPr="006574E1" w:rsidRDefault="00847517" w:rsidP="006574E1">
      <w:pPr>
        <w:pStyle w:val="a7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lang w:val="ro-RO"/>
        </w:rPr>
      </w:pPr>
      <w:r w:rsidRPr="006574E1">
        <w:rPr>
          <w:lang w:val="ro-RO"/>
        </w:rPr>
        <w:t xml:space="preserve"> </w:t>
      </w:r>
      <w:r w:rsidR="003741CF" w:rsidRPr="006574E1">
        <w:rPr>
          <w:lang w:val="ro-RO"/>
        </w:rPr>
        <w:t>Se desemnează r</w:t>
      </w:r>
      <w:r w:rsidR="00612395" w:rsidRPr="006574E1">
        <w:rPr>
          <w:lang w:val="ro-RO"/>
        </w:rPr>
        <w:t>esponsabil</w:t>
      </w:r>
      <w:r w:rsidR="003741CF" w:rsidRPr="006574E1">
        <w:rPr>
          <w:lang w:val="ro-RO"/>
        </w:rPr>
        <w:t>ă</w:t>
      </w:r>
      <w:r w:rsidR="00612395" w:rsidRPr="006574E1">
        <w:rPr>
          <w:lang w:val="ro-RO"/>
        </w:rPr>
        <w:t xml:space="preserve"> de organizarea și monitorizarea executării deciziei în cauză Vicepreședint</w:t>
      </w:r>
      <w:r w:rsidRPr="006574E1">
        <w:rPr>
          <w:lang w:val="ro-RO"/>
        </w:rPr>
        <w:t>a</w:t>
      </w:r>
      <w:r w:rsidR="00612395" w:rsidRPr="006574E1">
        <w:rPr>
          <w:lang w:val="ro-RO"/>
        </w:rPr>
        <w:t xml:space="preserve"> raionului (d</w:t>
      </w:r>
      <w:r w:rsidR="008615B4" w:rsidRPr="006574E1">
        <w:rPr>
          <w:lang w:val="ro-RO"/>
        </w:rPr>
        <w:t>na SERBUȘCA Vera</w:t>
      </w:r>
      <w:r w:rsidR="00612395" w:rsidRPr="006574E1">
        <w:rPr>
          <w:lang w:val="ro-RO"/>
        </w:rPr>
        <w:t>).</w:t>
      </w:r>
    </w:p>
    <w:p w14:paraId="3C534E13" w14:textId="77777777" w:rsidR="00847517" w:rsidRPr="006574E1" w:rsidRDefault="00612395" w:rsidP="006574E1">
      <w:pPr>
        <w:pStyle w:val="a7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lang w:val="ro-RO"/>
        </w:rPr>
      </w:pPr>
      <w:r w:rsidRPr="006574E1">
        <w:rPr>
          <w:rFonts w:eastAsia="Calibri"/>
          <w:bCs/>
          <w:lang w:val="ro-RO" w:eastAsia="en-US"/>
        </w:rPr>
        <w:t xml:space="preserve">Controlul </w:t>
      </w:r>
      <w:r w:rsidRPr="006574E1">
        <w:rPr>
          <w:lang w:val="ro-RO"/>
        </w:rPr>
        <w:t xml:space="preserve">asupra realizării prezentei decizii în cauză, se pune în sarcina Comisiei consultative pentru Economie, finanțe și buget (dl </w:t>
      </w:r>
      <w:r w:rsidR="008615B4" w:rsidRPr="006574E1">
        <w:rPr>
          <w:lang w:val="ro-RO"/>
        </w:rPr>
        <w:t>N</w:t>
      </w:r>
      <w:r w:rsidR="00056584" w:rsidRPr="006574E1">
        <w:rPr>
          <w:lang w:val="ro-RO"/>
        </w:rPr>
        <w:t xml:space="preserve"> . </w:t>
      </w:r>
      <w:proofErr w:type="spellStart"/>
      <w:r w:rsidR="00056584" w:rsidRPr="006574E1">
        <w:rPr>
          <w:lang w:val="en-US"/>
        </w:rPr>
        <w:t>Postoroncă</w:t>
      </w:r>
      <w:proofErr w:type="spellEnd"/>
      <w:r w:rsidR="00847517" w:rsidRPr="006574E1">
        <w:rPr>
          <w:lang w:val="en-US"/>
        </w:rPr>
        <w:t xml:space="preserve">) </w:t>
      </w:r>
      <w:proofErr w:type="spellStart"/>
      <w:r w:rsidR="00847517" w:rsidRPr="006574E1">
        <w:rPr>
          <w:lang w:val="en-US"/>
        </w:rPr>
        <w:t>și</w:t>
      </w:r>
      <w:proofErr w:type="spellEnd"/>
      <w:r w:rsidR="00847517" w:rsidRPr="006574E1">
        <w:rPr>
          <w:lang w:val="en-US"/>
        </w:rPr>
        <w:t xml:space="preserve"> </w:t>
      </w:r>
      <w:r w:rsidR="00847517" w:rsidRPr="006574E1">
        <w:rPr>
          <w:szCs w:val="22"/>
          <w:lang w:val="ro-RO"/>
        </w:rPr>
        <w:t xml:space="preserve">Comisiei consultative pentru Etică, </w:t>
      </w:r>
      <w:proofErr w:type="spellStart"/>
      <w:r w:rsidR="00847517" w:rsidRPr="006574E1">
        <w:rPr>
          <w:bCs/>
          <w:szCs w:val="36"/>
          <w:bdr w:val="none" w:sz="0" w:space="0" w:color="auto" w:frame="1"/>
          <w:lang w:val="ro-RO" w:eastAsia="ro-RO"/>
        </w:rPr>
        <w:t>legislaţie</w:t>
      </w:r>
      <w:proofErr w:type="spellEnd"/>
      <w:r w:rsidR="00847517" w:rsidRPr="006574E1">
        <w:rPr>
          <w:bCs/>
          <w:szCs w:val="36"/>
          <w:bdr w:val="none" w:sz="0" w:space="0" w:color="auto" w:frame="1"/>
          <w:lang w:val="ro-RO" w:eastAsia="ro-RO"/>
        </w:rPr>
        <w:t xml:space="preserve">, ordine </w:t>
      </w:r>
      <w:proofErr w:type="spellStart"/>
      <w:r w:rsidR="00847517" w:rsidRPr="006574E1">
        <w:rPr>
          <w:bCs/>
          <w:szCs w:val="36"/>
          <w:bdr w:val="none" w:sz="0" w:space="0" w:color="auto" w:frame="1"/>
          <w:lang w:val="ro-RO" w:eastAsia="ro-RO"/>
        </w:rPr>
        <w:t>şi</w:t>
      </w:r>
      <w:proofErr w:type="spellEnd"/>
      <w:r w:rsidR="00847517" w:rsidRPr="006574E1">
        <w:rPr>
          <w:bCs/>
          <w:szCs w:val="36"/>
          <w:bdr w:val="none" w:sz="0" w:space="0" w:color="auto" w:frame="1"/>
          <w:lang w:val="ro-RO" w:eastAsia="ro-RO"/>
        </w:rPr>
        <w:t xml:space="preserve"> drepturile omului.</w:t>
      </w:r>
    </w:p>
    <w:p w14:paraId="62E6FE53" w14:textId="0DE0BBB5" w:rsidR="0097391E" w:rsidRPr="006574E1" w:rsidRDefault="00612395" w:rsidP="006574E1">
      <w:pPr>
        <w:pStyle w:val="a7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lang w:val="ro-RO"/>
        </w:rPr>
      </w:pPr>
      <w:r w:rsidRPr="006574E1">
        <w:rPr>
          <w:lang w:val="ro-RO"/>
        </w:rPr>
        <w:t xml:space="preserve">Prezenta decizie poate fi contestată la Judecătoria Bălți (sediul Central, </w:t>
      </w:r>
      <w:proofErr w:type="spellStart"/>
      <w:r w:rsidRPr="006574E1">
        <w:rPr>
          <w:lang w:val="ro-RO"/>
        </w:rPr>
        <w:t>str.Hotinului</w:t>
      </w:r>
      <w:proofErr w:type="spellEnd"/>
      <w:r w:rsidRPr="006574E1">
        <w:rPr>
          <w:lang w:val="ro-RO"/>
        </w:rPr>
        <w:t>, nr.</w:t>
      </w:r>
      <w:r w:rsidR="00847517" w:rsidRPr="006574E1">
        <w:rPr>
          <w:lang w:val="ro-RO"/>
        </w:rPr>
        <w:t xml:space="preserve"> </w:t>
      </w:r>
      <w:r w:rsidRPr="006574E1">
        <w:rPr>
          <w:lang w:val="ro-RO"/>
        </w:rPr>
        <w:t xml:space="preserve">43) în termen de 30 zile de la data </w:t>
      </w:r>
      <w:r w:rsidR="00C60B03">
        <w:rPr>
          <w:lang w:val="ro-RO"/>
        </w:rPr>
        <w:t>publi</w:t>
      </w:r>
      <w:r w:rsidRPr="006574E1">
        <w:rPr>
          <w:lang w:val="ro-RO"/>
        </w:rPr>
        <w:t>cării, potrivit prevederilor Codului Administrativ al R.</w:t>
      </w:r>
      <w:r w:rsidR="00847517" w:rsidRPr="006574E1">
        <w:rPr>
          <w:lang w:val="ro-RO"/>
        </w:rPr>
        <w:t xml:space="preserve"> </w:t>
      </w:r>
      <w:r w:rsidRPr="006574E1">
        <w:rPr>
          <w:lang w:val="ro-RO"/>
        </w:rPr>
        <w:t>Moldova nr.</w:t>
      </w:r>
      <w:r w:rsidR="00847517" w:rsidRPr="006574E1">
        <w:rPr>
          <w:lang w:val="ro-RO"/>
        </w:rPr>
        <w:t xml:space="preserve"> </w:t>
      </w:r>
      <w:r w:rsidRPr="006574E1">
        <w:rPr>
          <w:lang w:val="ro-RO"/>
        </w:rPr>
        <w:t>116/2018.</w:t>
      </w:r>
    </w:p>
    <w:p w14:paraId="52B7A4AC" w14:textId="77777777" w:rsidR="0097391E" w:rsidRDefault="00612395">
      <w:pPr>
        <w:pStyle w:val="a7"/>
        <w:tabs>
          <w:tab w:val="left" w:pos="1134"/>
        </w:tabs>
        <w:ind w:left="709"/>
        <w:contextualSpacing/>
        <w:rPr>
          <w:rFonts w:eastAsia="Calibri"/>
          <w:bCs/>
          <w:lang w:val="ro-RO" w:eastAsia="en-US"/>
        </w:rPr>
      </w:pPr>
      <w:r>
        <w:rPr>
          <w:b/>
          <w:lang w:val="ro-RO"/>
        </w:rPr>
        <w:t xml:space="preserve">                                                          PREȘEDINTE</w:t>
      </w:r>
    </w:p>
    <w:p w14:paraId="6A353140" w14:textId="77777777" w:rsidR="0097391E" w:rsidRDefault="008615B4">
      <w:pPr>
        <w:jc w:val="center"/>
        <w:rPr>
          <w:b/>
          <w:lang w:val="ro-RO"/>
        </w:rPr>
      </w:pPr>
      <w:r>
        <w:rPr>
          <w:b/>
          <w:lang w:val="ro-RO"/>
        </w:rPr>
        <w:t>Cristian</w:t>
      </w:r>
      <w:r w:rsidR="00E3757A" w:rsidRPr="00E3757A">
        <w:rPr>
          <w:b/>
          <w:lang w:val="ro-RO"/>
        </w:rPr>
        <w:t xml:space="preserve"> </w:t>
      </w:r>
      <w:r w:rsidR="00E3757A">
        <w:rPr>
          <w:b/>
          <w:lang w:val="ro-RO"/>
        </w:rPr>
        <w:t>CAINARIAN</w:t>
      </w:r>
    </w:p>
    <w:p w14:paraId="15AF4B21" w14:textId="77777777" w:rsidR="0097391E" w:rsidRDefault="00612395">
      <w:pPr>
        <w:pStyle w:val="a7"/>
        <w:tabs>
          <w:tab w:val="left" w:pos="1134"/>
        </w:tabs>
        <w:ind w:left="709"/>
        <w:contextualSpacing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                                                        _____________________</w:t>
      </w:r>
    </w:p>
    <w:p w14:paraId="00E1F387" w14:textId="77777777" w:rsidR="006574E1" w:rsidRDefault="006574E1">
      <w:pPr>
        <w:pStyle w:val="a7"/>
        <w:tabs>
          <w:tab w:val="left" w:pos="1134"/>
        </w:tabs>
        <w:ind w:left="709"/>
        <w:contextualSpacing/>
        <w:rPr>
          <w:b/>
          <w:sz w:val="22"/>
          <w:szCs w:val="22"/>
          <w:lang w:val="ro-RO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04"/>
      </w:tblGrid>
      <w:tr w:rsidR="0097391E" w:rsidRPr="006F4352" w14:paraId="1A30B022" w14:textId="77777777" w:rsidTr="00A86E8F">
        <w:trPr>
          <w:trHeight w:val="1324"/>
        </w:trPr>
        <w:tc>
          <w:tcPr>
            <w:tcW w:w="4803" w:type="dxa"/>
          </w:tcPr>
          <w:p w14:paraId="774840E8" w14:textId="77777777" w:rsidR="0097391E" w:rsidRPr="00D35035" w:rsidRDefault="00612395" w:rsidP="00FB7693">
            <w:pPr>
              <w:rPr>
                <w:b/>
                <w:lang w:val="pt-PT"/>
              </w:rPr>
            </w:pPr>
            <w:r w:rsidRPr="00D35035">
              <w:rPr>
                <w:b/>
                <w:lang w:val="pt-PT"/>
              </w:rPr>
              <w:t>CONTRASEMNEAZĂ</w:t>
            </w:r>
          </w:p>
          <w:p w14:paraId="29EEED55" w14:textId="77777777" w:rsidR="0097391E" w:rsidRPr="00D35035" w:rsidRDefault="00612395" w:rsidP="00FB7693">
            <w:pPr>
              <w:rPr>
                <w:b/>
                <w:lang w:val="pt-PT"/>
              </w:rPr>
            </w:pPr>
            <w:r w:rsidRPr="00D35035">
              <w:rPr>
                <w:b/>
                <w:lang w:val="pt-PT"/>
              </w:rPr>
              <w:t>Secretar</w:t>
            </w:r>
            <w:r w:rsidR="000A3904" w:rsidRPr="00D35035">
              <w:rPr>
                <w:b/>
                <w:lang w:val="pt-PT"/>
              </w:rPr>
              <w:t>a interimară a</w:t>
            </w:r>
            <w:r w:rsidR="00FB7693" w:rsidRPr="00D35035">
              <w:rPr>
                <w:b/>
                <w:lang w:val="pt-PT"/>
              </w:rPr>
              <w:t xml:space="preserve"> </w:t>
            </w:r>
            <w:r w:rsidRPr="00D35035">
              <w:rPr>
                <w:b/>
                <w:lang w:val="pt-PT"/>
              </w:rPr>
              <w:t>Consiliului raional</w:t>
            </w:r>
          </w:p>
          <w:p w14:paraId="4E13AE38" w14:textId="77777777" w:rsidR="0097391E" w:rsidRPr="00D35035" w:rsidRDefault="008615B4" w:rsidP="00FB7693">
            <w:pPr>
              <w:rPr>
                <w:lang w:val="pt-PT"/>
              </w:rPr>
            </w:pPr>
            <w:r w:rsidRPr="00D35035">
              <w:rPr>
                <w:lang w:val="pt-PT"/>
              </w:rPr>
              <w:t>MIHALIUC   Angela</w:t>
            </w:r>
          </w:p>
          <w:p w14:paraId="640F7A1A" w14:textId="77777777" w:rsidR="0097391E" w:rsidRPr="00D35035" w:rsidRDefault="00612395" w:rsidP="00FB7693">
            <w:pPr>
              <w:rPr>
                <w:lang w:val="pt-PT"/>
              </w:rPr>
            </w:pPr>
            <w:r w:rsidRPr="00D35035">
              <w:rPr>
                <w:lang w:val="pt-PT"/>
              </w:rPr>
              <w:t>______________________________</w:t>
            </w:r>
          </w:p>
          <w:p w14:paraId="40CC1688" w14:textId="42DD14C2" w:rsidR="006574E1" w:rsidRPr="00D35035" w:rsidRDefault="004C3465" w:rsidP="006574E1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ÎNTOCMIT</w:t>
            </w:r>
          </w:p>
          <w:p w14:paraId="70892623" w14:textId="77777777" w:rsidR="006574E1" w:rsidRPr="00D35035" w:rsidRDefault="006574E1" w:rsidP="006574E1">
            <w:pPr>
              <w:rPr>
                <w:b/>
                <w:lang w:val="pt-PT"/>
              </w:rPr>
            </w:pPr>
            <w:r w:rsidRPr="00D35035">
              <w:rPr>
                <w:b/>
                <w:lang w:val="pt-PT"/>
              </w:rPr>
              <w:t>Șef Serviciul Agricultură și Cadastru</w:t>
            </w:r>
          </w:p>
          <w:p w14:paraId="5888F889" w14:textId="77777777" w:rsidR="006574E1" w:rsidRDefault="006574E1" w:rsidP="006574E1">
            <w:pPr>
              <w:rPr>
                <w:lang w:val="en-US"/>
              </w:rPr>
            </w:pPr>
            <w:r>
              <w:rPr>
                <w:lang w:val="en-US"/>
              </w:rPr>
              <w:t>HARABAGIU Ion____________</w:t>
            </w:r>
          </w:p>
        </w:tc>
        <w:tc>
          <w:tcPr>
            <w:tcW w:w="4804" w:type="dxa"/>
          </w:tcPr>
          <w:p w14:paraId="19B3884C" w14:textId="4A67098B" w:rsidR="00E3757A" w:rsidRPr="00D35035" w:rsidRDefault="004C3465" w:rsidP="00FB7693">
            <w:pPr>
              <w:jc w:val="right"/>
              <w:rPr>
                <w:b/>
                <w:lang w:val="pt-PT"/>
              </w:rPr>
            </w:pPr>
            <w:r>
              <w:rPr>
                <w:b/>
                <w:lang w:val="pt-PT"/>
              </w:rPr>
              <w:t>COORDONAT</w:t>
            </w:r>
          </w:p>
          <w:p w14:paraId="17808E00" w14:textId="77777777" w:rsidR="00E3757A" w:rsidRPr="00D35035" w:rsidRDefault="00E3757A" w:rsidP="00FB7693">
            <w:pPr>
              <w:jc w:val="right"/>
              <w:rPr>
                <w:b/>
                <w:lang w:val="pt-PT"/>
              </w:rPr>
            </w:pPr>
            <w:r w:rsidRPr="00D35035">
              <w:rPr>
                <w:b/>
                <w:lang w:val="pt-PT"/>
              </w:rPr>
              <w:t xml:space="preserve">Vicepreședinta raionului </w:t>
            </w:r>
          </w:p>
          <w:p w14:paraId="39D446EE" w14:textId="77777777" w:rsidR="00E3757A" w:rsidRPr="00D35035" w:rsidRDefault="00E3757A" w:rsidP="00FB7693">
            <w:pPr>
              <w:jc w:val="right"/>
              <w:rPr>
                <w:lang w:val="pt-PT"/>
              </w:rPr>
            </w:pPr>
            <w:r w:rsidRPr="00D35035">
              <w:rPr>
                <w:b/>
                <w:lang w:val="pt-PT"/>
              </w:rPr>
              <w:t xml:space="preserve"> </w:t>
            </w:r>
            <w:r w:rsidRPr="00D35035">
              <w:rPr>
                <w:lang w:val="pt-PT"/>
              </w:rPr>
              <w:t>SERBUȘCA  Vera</w:t>
            </w:r>
          </w:p>
          <w:p w14:paraId="1FB1E364" w14:textId="77777777" w:rsidR="0097391E" w:rsidRPr="00D35035" w:rsidRDefault="00E3757A" w:rsidP="00FB7693">
            <w:pPr>
              <w:ind w:left="-284"/>
              <w:jc w:val="right"/>
              <w:rPr>
                <w:lang w:val="pt-PT"/>
              </w:rPr>
            </w:pPr>
            <w:r w:rsidRPr="00D35035">
              <w:rPr>
                <w:sz w:val="18"/>
                <w:szCs w:val="18"/>
                <w:lang w:val="pt-PT"/>
              </w:rPr>
              <w:t xml:space="preserve">  </w:t>
            </w:r>
            <w:r w:rsidRPr="00D35035">
              <w:rPr>
                <w:lang w:val="pt-PT"/>
              </w:rPr>
              <w:t>________________________</w:t>
            </w:r>
          </w:p>
          <w:p w14:paraId="066D3F62" w14:textId="77777777" w:rsidR="00FB7693" w:rsidRPr="00D35035" w:rsidRDefault="00FB7693" w:rsidP="00FB7693">
            <w:pPr>
              <w:jc w:val="right"/>
              <w:rPr>
                <w:b/>
                <w:lang w:val="pt-PT"/>
              </w:rPr>
            </w:pPr>
            <w:r w:rsidRPr="00D35035">
              <w:rPr>
                <w:b/>
                <w:lang w:val="pt-PT"/>
              </w:rPr>
              <w:t>COORDONAT</w:t>
            </w:r>
          </w:p>
          <w:p w14:paraId="28255417" w14:textId="77777777" w:rsidR="00FB7693" w:rsidRPr="00D35035" w:rsidRDefault="00FB7693" w:rsidP="00FB7693">
            <w:pPr>
              <w:jc w:val="right"/>
              <w:rPr>
                <w:b/>
                <w:lang w:val="pt-PT"/>
              </w:rPr>
            </w:pPr>
            <w:r w:rsidRPr="00D35035">
              <w:rPr>
                <w:b/>
                <w:lang w:val="pt-PT"/>
              </w:rPr>
              <w:t>Șefă Secția Juridică și Resurse Umane</w:t>
            </w:r>
          </w:p>
          <w:p w14:paraId="3B17C6C1" w14:textId="421E02BD" w:rsidR="00FB7693" w:rsidRDefault="004C3465" w:rsidP="004C3465">
            <w:pPr>
              <w:ind w:left="-284"/>
              <w:jc w:val="both"/>
              <w:rPr>
                <w:bCs/>
                <w:iCs/>
                <w:sz w:val="20"/>
                <w:szCs w:val="20"/>
                <w:lang w:val="en-US"/>
              </w:rPr>
            </w:pPr>
            <w:r w:rsidRPr="00F90548">
              <w:rPr>
                <w:lang w:val="pt-PT"/>
              </w:rPr>
              <w:t xml:space="preserve">                        </w:t>
            </w:r>
            <w:r w:rsidR="00FB7693">
              <w:rPr>
                <w:lang w:val="en-US"/>
              </w:rPr>
              <w:t>TABARCEA Oxana____________</w:t>
            </w:r>
          </w:p>
        </w:tc>
      </w:tr>
    </w:tbl>
    <w:p w14:paraId="58E1CFE8" w14:textId="77777777" w:rsidR="0097391E" w:rsidRDefault="0097391E" w:rsidP="00A86E8F">
      <w:pPr>
        <w:rPr>
          <w:bCs/>
          <w:iCs/>
          <w:sz w:val="18"/>
          <w:szCs w:val="18"/>
          <w:lang w:val="ro-RO"/>
        </w:rPr>
      </w:pPr>
    </w:p>
    <w:sectPr w:rsidR="0097391E" w:rsidSect="00A86E8F">
      <w:pgSz w:w="11906" w:h="16838"/>
      <w:pgMar w:top="39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84D5D" w14:textId="77777777" w:rsidR="002E02D7" w:rsidRDefault="002E02D7">
      <w:r>
        <w:separator/>
      </w:r>
    </w:p>
  </w:endnote>
  <w:endnote w:type="continuationSeparator" w:id="0">
    <w:p w14:paraId="09484706" w14:textId="77777777" w:rsidR="002E02D7" w:rsidRDefault="002E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BCB8C" w14:textId="77777777" w:rsidR="002E02D7" w:rsidRDefault="002E02D7">
      <w:r>
        <w:separator/>
      </w:r>
    </w:p>
  </w:footnote>
  <w:footnote w:type="continuationSeparator" w:id="0">
    <w:p w14:paraId="5C8F6D4E" w14:textId="77777777" w:rsidR="002E02D7" w:rsidRDefault="002E0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672C"/>
    <w:multiLevelType w:val="multilevel"/>
    <w:tmpl w:val="80DC15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B9A5620"/>
    <w:multiLevelType w:val="hybridMultilevel"/>
    <w:tmpl w:val="216C99FA"/>
    <w:lvl w:ilvl="0" w:tplc="92BA73A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7415"/>
    <w:multiLevelType w:val="multilevel"/>
    <w:tmpl w:val="27DA1D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80428B9"/>
    <w:multiLevelType w:val="multilevel"/>
    <w:tmpl w:val="380428B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bullet"/>
      <w:lvlText w:val="-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8339C"/>
    <w:multiLevelType w:val="multilevel"/>
    <w:tmpl w:val="378C5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83B5ACF"/>
    <w:multiLevelType w:val="multilevel"/>
    <w:tmpl w:val="683B5ACF"/>
    <w:lvl w:ilvl="0">
      <w:start w:val="1"/>
      <w:numFmt w:val="decimal"/>
      <w:lvlText w:val="(%1)"/>
      <w:lvlJc w:val="left"/>
      <w:pPr>
        <w:tabs>
          <w:tab w:val="left" w:pos="780"/>
        </w:tabs>
        <w:ind w:left="780" w:hanging="4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9C4504D"/>
    <w:multiLevelType w:val="multilevel"/>
    <w:tmpl w:val="A5588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707627AB"/>
    <w:multiLevelType w:val="multilevel"/>
    <w:tmpl w:val="1FD221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num w:numId="1" w16cid:durableId="2013680707">
    <w:abstractNumId w:val="5"/>
  </w:num>
  <w:num w:numId="2" w16cid:durableId="1268545165">
    <w:abstractNumId w:val="3"/>
  </w:num>
  <w:num w:numId="3" w16cid:durableId="96868965">
    <w:abstractNumId w:val="7"/>
  </w:num>
  <w:num w:numId="4" w16cid:durableId="1217276740">
    <w:abstractNumId w:val="1"/>
  </w:num>
  <w:num w:numId="5" w16cid:durableId="2037384423">
    <w:abstractNumId w:val="0"/>
  </w:num>
  <w:num w:numId="6" w16cid:durableId="155657982">
    <w:abstractNumId w:val="2"/>
  </w:num>
  <w:num w:numId="7" w16cid:durableId="1178539093">
    <w:abstractNumId w:val="4"/>
  </w:num>
  <w:num w:numId="8" w16cid:durableId="2953771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EC"/>
    <w:rsid w:val="00001752"/>
    <w:rsid w:val="00002701"/>
    <w:rsid w:val="00010A99"/>
    <w:rsid w:val="00011C56"/>
    <w:rsid w:val="000146D5"/>
    <w:rsid w:val="0002095D"/>
    <w:rsid w:val="000260F9"/>
    <w:rsid w:val="00027415"/>
    <w:rsid w:val="0003064E"/>
    <w:rsid w:val="00033B8C"/>
    <w:rsid w:val="00047A63"/>
    <w:rsid w:val="00056584"/>
    <w:rsid w:val="00061FFC"/>
    <w:rsid w:val="00062978"/>
    <w:rsid w:val="00064C82"/>
    <w:rsid w:val="00072433"/>
    <w:rsid w:val="000A20DD"/>
    <w:rsid w:val="000A320C"/>
    <w:rsid w:val="000A3904"/>
    <w:rsid w:val="000B5932"/>
    <w:rsid w:val="000F3135"/>
    <w:rsid w:val="001025A8"/>
    <w:rsid w:val="00124987"/>
    <w:rsid w:val="001321E7"/>
    <w:rsid w:val="001348F9"/>
    <w:rsid w:val="001349B6"/>
    <w:rsid w:val="001518E4"/>
    <w:rsid w:val="001554D5"/>
    <w:rsid w:val="00170DB0"/>
    <w:rsid w:val="00183EC2"/>
    <w:rsid w:val="00186981"/>
    <w:rsid w:val="00187689"/>
    <w:rsid w:val="00194455"/>
    <w:rsid w:val="001B3E70"/>
    <w:rsid w:val="001B7196"/>
    <w:rsid w:val="001C116B"/>
    <w:rsid w:val="001C61F6"/>
    <w:rsid w:val="001D11BB"/>
    <w:rsid w:val="001E7EF9"/>
    <w:rsid w:val="001F0FAC"/>
    <w:rsid w:val="002026A7"/>
    <w:rsid w:val="00203BBA"/>
    <w:rsid w:val="002139C0"/>
    <w:rsid w:val="002147C2"/>
    <w:rsid w:val="002259B2"/>
    <w:rsid w:val="00230381"/>
    <w:rsid w:val="00235B87"/>
    <w:rsid w:val="0024109A"/>
    <w:rsid w:val="00252A9E"/>
    <w:rsid w:val="002543CF"/>
    <w:rsid w:val="00264696"/>
    <w:rsid w:val="002725E5"/>
    <w:rsid w:val="0028300E"/>
    <w:rsid w:val="0028731D"/>
    <w:rsid w:val="00294AFE"/>
    <w:rsid w:val="00295C75"/>
    <w:rsid w:val="002A44FF"/>
    <w:rsid w:val="002A530B"/>
    <w:rsid w:val="002C25BD"/>
    <w:rsid w:val="002C3533"/>
    <w:rsid w:val="002E02D7"/>
    <w:rsid w:val="002E17F4"/>
    <w:rsid w:val="002E7626"/>
    <w:rsid w:val="00311F4A"/>
    <w:rsid w:val="00316880"/>
    <w:rsid w:val="00342D9E"/>
    <w:rsid w:val="003656BC"/>
    <w:rsid w:val="003740C2"/>
    <w:rsid w:val="003741CF"/>
    <w:rsid w:val="003A2855"/>
    <w:rsid w:val="003A39DB"/>
    <w:rsid w:val="003B0C6F"/>
    <w:rsid w:val="003B53A2"/>
    <w:rsid w:val="003B7967"/>
    <w:rsid w:val="003D0063"/>
    <w:rsid w:val="003D023C"/>
    <w:rsid w:val="003E5C68"/>
    <w:rsid w:val="003E696F"/>
    <w:rsid w:val="003E7392"/>
    <w:rsid w:val="003E7950"/>
    <w:rsid w:val="003F139C"/>
    <w:rsid w:val="00402A29"/>
    <w:rsid w:val="00403688"/>
    <w:rsid w:val="0041724D"/>
    <w:rsid w:val="00424265"/>
    <w:rsid w:val="00426C74"/>
    <w:rsid w:val="0042733C"/>
    <w:rsid w:val="004446A8"/>
    <w:rsid w:val="00446A4C"/>
    <w:rsid w:val="00455B8C"/>
    <w:rsid w:val="00462C8C"/>
    <w:rsid w:val="00480931"/>
    <w:rsid w:val="00487654"/>
    <w:rsid w:val="004947CF"/>
    <w:rsid w:val="004A1463"/>
    <w:rsid w:val="004A600E"/>
    <w:rsid w:val="004A6D02"/>
    <w:rsid w:val="004B4F46"/>
    <w:rsid w:val="004B63CF"/>
    <w:rsid w:val="004C26EE"/>
    <w:rsid w:val="004C3465"/>
    <w:rsid w:val="004D3BAD"/>
    <w:rsid w:val="004E28C6"/>
    <w:rsid w:val="004E4AB3"/>
    <w:rsid w:val="00507D94"/>
    <w:rsid w:val="00522802"/>
    <w:rsid w:val="00531BEE"/>
    <w:rsid w:val="005404F5"/>
    <w:rsid w:val="00541B72"/>
    <w:rsid w:val="005509EF"/>
    <w:rsid w:val="00560730"/>
    <w:rsid w:val="0056615C"/>
    <w:rsid w:val="005713D6"/>
    <w:rsid w:val="005803FE"/>
    <w:rsid w:val="005956A8"/>
    <w:rsid w:val="005A12EF"/>
    <w:rsid w:val="005A2C35"/>
    <w:rsid w:val="005A6483"/>
    <w:rsid w:val="005B5B41"/>
    <w:rsid w:val="005C3C57"/>
    <w:rsid w:val="005C662A"/>
    <w:rsid w:val="005F2979"/>
    <w:rsid w:val="005F7193"/>
    <w:rsid w:val="005F79E7"/>
    <w:rsid w:val="00612395"/>
    <w:rsid w:val="0062513A"/>
    <w:rsid w:val="00636ED9"/>
    <w:rsid w:val="00646D97"/>
    <w:rsid w:val="00647679"/>
    <w:rsid w:val="006574E1"/>
    <w:rsid w:val="00664A05"/>
    <w:rsid w:val="00684903"/>
    <w:rsid w:val="00690ADE"/>
    <w:rsid w:val="00690FE5"/>
    <w:rsid w:val="00692321"/>
    <w:rsid w:val="006A29A3"/>
    <w:rsid w:val="006B4F77"/>
    <w:rsid w:val="006B565A"/>
    <w:rsid w:val="006B6A16"/>
    <w:rsid w:val="006C0718"/>
    <w:rsid w:val="006C2CF6"/>
    <w:rsid w:val="006D3BAA"/>
    <w:rsid w:val="006E7F61"/>
    <w:rsid w:val="006F3EA5"/>
    <w:rsid w:val="006F4352"/>
    <w:rsid w:val="00704B72"/>
    <w:rsid w:val="007152EC"/>
    <w:rsid w:val="0071794D"/>
    <w:rsid w:val="00723A95"/>
    <w:rsid w:val="0073169E"/>
    <w:rsid w:val="00732B1A"/>
    <w:rsid w:val="00734F65"/>
    <w:rsid w:val="00736565"/>
    <w:rsid w:val="00741146"/>
    <w:rsid w:val="00744EEB"/>
    <w:rsid w:val="0076525C"/>
    <w:rsid w:val="00767075"/>
    <w:rsid w:val="00783009"/>
    <w:rsid w:val="00785FD7"/>
    <w:rsid w:val="00786A9C"/>
    <w:rsid w:val="00795A39"/>
    <w:rsid w:val="00795E0A"/>
    <w:rsid w:val="00797A76"/>
    <w:rsid w:val="007A05BE"/>
    <w:rsid w:val="007A40D4"/>
    <w:rsid w:val="007C0AF0"/>
    <w:rsid w:val="007C3BAC"/>
    <w:rsid w:val="007C3C81"/>
    <w:rsid w:val="007D4777"/>
    <w:rsid w:val="007D6B50"/>
    <w:rsid w:val="007E0905"/>
    <w:rsid w:val="007E657C"/>
    <w:rsid w:val="007F389C"/>
    <w:rsid w:val="007F7C33"/>
    <w:rsid w:val="008046EC"/>
    <w:rsid w:val="00805118"/>
    <w:rsid w:val="008109C2"/>
    <w:rsid w:val="0081179B"/>
    <w:rsid w:val="008257B1"/>
    <w:rsid w:val="00826B47"/>
    <w:rsid w:val="00847517"/>
    <w:rsid w:val="008615B4"/>
    <w:rsid w:val="008756A6"/>
    <w:rsid w:val="00876B73"/>
    <w:rsid w:val="008775C3"/>
    <w:rsid w:val="0089613D"/>
    <w:rsid w:val="008A2507"/>
    <w:rsid w:val="008B733E"/>
    <w:rsid w:val="008E14E6"/>
    <w:rsid w:val="008F19E2"/>
    <w:rsid w:val="008F1D6A"/>
    <w:rsid w:val="008F4E20"/>
    <w:rsid w:val="008F70AC"/>
    <w:rsid w:val="008F7BD3"/>
    <w:rsid w:val="008F7DA0"/>
    <w:rsid w:val="009136FB"/>
    <w:rsid w:val="009248AB"/>
    <w:rsid w:val="00930D40"/>
    <w:rsid w:val="0095072F"/>
    <w:rsid w:val="009573D7"/>
    <w:rsid w:val="00962448"/>
    <w:rsid w:val="0097391E"/>
    <w:rsid w:val="00975F04"/>
    <w:rsid w:val="00995E02"/>
    <w:rsid w:val="009A523B"/>
    <w:rsid w:val="009A6AE1"/>
    <w:rsid w:val="009B08A9"/>
    <w:rsid w:val="009B7F69"/>
    <w:rsid w:val="009C75FC"/>
    <w:rsid w:val="009D17E7"/>
    <w:rsid w:val="009D35F6"/>
    <w:rsid w:val="009D6B6C"/>
    <w:rsid w:val="009E7A96"/>
    <w:rsid w:val="009F745F"/>
    <w:rsid w:val="00A2183A"/>
    <w:rsid w:val="00A34DF6"/>
    <w:rsid w:val="00A529C1"/>
    <w:rsid w:val="00A54E0C"/>
    <w:rsid w:val="00A57132"/>
    <w:rsid w:val="00A762E8"/>
    <w:rsid w:val="00A76AF5"/>
    <w:rsid w:val="00A83FA5"/>
    <w:rsid w:val="00A86E8F"/>
    <w:rsid w:val="00AA5E52"/>
    <w:rsid w:val="00AA749F"/>
    <w:rsid w:val="00AC3369"/>
    <w:rsid w:val="00AC54CB"/>
    <w:rsid w:val="00AC7432"/>
    <w:rsid w:val="00AD44BA"/>
    <w:rsid w:val="00AE0A93"/>
    <w:rsid w:val="00AE1D3D"/>
    <w:rsid w:val="00AE4D05"/>
    <w:rsid w:val="00AF1486"/>
    <w:rsid w:val="00AF2B06"/>
    <w:rsid w:val="00AF55C7"/>
    <w:rsid w:val="00AF6122"/>
    <w:rsid w:val="00B045F3"/>
    <w:rsid w:val="00B1186C"/>
    <w:rsid w:val="00B26F7C"/>
    <w:rsid w:val="00B446FC"/>
    <w:rsid w:val="00B5644C"/>
    <w:rsid w:val="00B74A98"/>
    <w:rsid w:val="00B76288"/>
    <w:rsid w:val="00B86A97"/>
    <w:rsid w:val="00B9179A"/>
    <w:rsid w:val="00B919CC"/>
    <w:rsid w:val="00BB4312"/>
    <w:rsid w:val="00BD0DCB"/>
    <w:rsid w:val="00BD790E"/>
    <w:rsid w:val="00BE2D5C"/>
    <w:rsid w:val="00BE32A5"/>
    <w:rsid w:val="00BE7082"/>
    <w:rsid w:val="00BE7C10"/>
    <w:rsid w:val="00C02263"/>
    <w:rsid w:val="00C0684E"/>
    <w:rsid w:val="00C13A73"/>
    <w:rsid w:val="00C2436C"/>
    <w:rsid w:val="00C31E11"/>
    <w:rsid w:val="00C3494F"/>
    <w:rsid w:val="00C505A0"/>
    <w:rsid w:val="00C54BBC"/>
    <w:rsid w:val="00C60B03"/>
    <w:rsid w:val="00C66FD0"/>
    <w:rsid w:val="00CA28BF"/>
    <w:rsid w:val="00CA4737"/>
    <w:rsid w:val="00CA7CC6"/>
    <w:rsid w:val="00CD1288"/>
    <w:rsid w:val="00CD1EF1"/>
    <w:rsid w:val="00CE5E42"/>
    <w:rsid w:val="00D00D68"/>
    <w:rsid w:val="00D04F93"/>
    <w:rsid w:val="00D10A32"/>
    <w:rsid w:val="00D167D2"/>
    <w:rsid w:val="00D3040B"/>
    <w:rsid w:val="00D35035"/>
    <w:rsid w:val="00D44D5A"/>
    <w:rsid w:val="00D5272A"/>
    <w:rsid w:val="00D61034"/>
    <w:rsid w:val="00D66300"/>
    <w:rsid w:val="00D66FE6"/>
    <w:rsid w:val="00D71F21"/>
    <w:rsid w:val="00D818A9"/>
    <w:rsid w:val="00D83083"/>
    <w:rsid w:val="00D850AB"/>
    <w:rsid w:val="00DB69D3"/>
    <w:rsid w:val="00DC0483"/>
    <w:rsid w:val="00DC7DBB"/>
    <w:rsid w:val="00DF5807"/>
    <w:rsid w:val="00E06D9E"/>
    <w:rsid w:val="00E27A12"/>
    <w:rsid w:val="00E32CFD"/>
    <w:rsid w:val="00E32F91"/>
    <w:rsid w:val="00E36D97"/>
    <w:rsid w:val="00E3757A"/>
    <w:rsid w:val="00E43B83"/>
    <w:rsid w:val="00E44559"/>
    <w:rsid w:val="00E47D3E"/>
    <w:rsid w:val="00E50827"/>
    <w:rsid w:val="00E50C08"/>
    <w:rsid w:val="00E51977"/>
    <w:rsid w:val="00E603BB"/>
    <w:rsid w:val="00E650B8"/>
    <w:rsid w:val="00E65B98"/>
    <w:rsid w:val="00E714BC"/>
    <w:rsid w:val="00E813DE"/>
    <w:rsid w:val="00E8152F"/>
    <w:rsid w:val="00E931E3"/>
    <w:rsid w:val="00EC1D9F"/>
    <w:rsid w:val="00EC66E0"/>
    <w:rsid w:val="00ED008C"/>
    <w:rsid w:val="00ED037B"/>
    <w:rsid w:val="00ED5D44"/>
    <w:rsid w:val="00EE159B"/>
    <w:rsid w:val="00F075F3"/>
    <w:rsid w:val="00F12ECD"/>
    <w:rsid w:val="00F152BC"/>
    <w:rsid w:val="00F1640C"/>
    <w:rsid w:val="00F4444A"/>
    <w:rsid w:val="00F502DC"/>
    <w:rsid w:val="00F543D7"/>
    <w:rsid w:val="00F6529F"/>
    <w:rsid w:val="00F67891"/>
    <w:rsid w:val="00F749CC"/>
    <w:rsid w:val="00F87052"/>
    <w:rsid w:val="00F90548"/>
    <w:rsid w:val="00FA16A1"/>
    <w:rsid w:val="00FB7693"/>
    <w:rsid w:val="00FC5768"/>
    <w:rsid w:val="00FD3219"/>
    <w:rsid w:val="00FD446F"/>
    <w:rsid w:val="00FD4F5D"/>
    <w:rsid w:val="00FF42AD"/>
    <w:rsid w:val="11BD00EF"/>
    <w:rsid w:val="329B6687"/>
    <w:rsid w:val="50B82D12"/>
    <w:rsid w:val="7118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8DD24C"/>
  <w15:docId w15:val="{D2DA0349-B671-4C1F-9D98-BD28EB04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qFormat/>
    <w:rPr>
      <w:b/>
      <w:szCs w:val="20"/>
      <w:lang w:val="ro-RO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7">
    <w:name w:val="List Paragraph"/>
    <w:aliases w:val="Cablenet"/>
    <w:basedOn w:val="a"/>
    <w:link w:val="a8"/>
    <w:uiPriority w:val="1"/>
    <w:qFormat/>
    <w:pPr>
      <w:ind w:left="708"/>
    </w:pPr>
  </w:style>
  <w:style w:type="paragraph" w:styleId="a9">
    <w:name w:val="No Spacing"/>
    <w:uiPriority w:val="1"/>
    <w:qFormat/>
    <w:rPr>
      <w:rFonts w:eastAsiaTheme="minorEastAsia"/>
      <w:sz w:val="22"/>
      <w:szCs w:val="22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qFormat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2">
    <w:name w:val="Quote"/>
    <w:basedOn w:val="a"/>
    <w:next w:val="a"/>
    <w:link w:val="20"/>
    <w:uiPriority w:val="29"/>
    <w:qFormat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qFormat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FontStyle26">
    <w:name w:val="Font Style26"/>
    <w:basedOn w:val="a0"/>
    <w:qFormat/>
    <w:rPr>
      <w:rFonts w:ascii="Times New Roman" w:hAnsi="Times New Roman" w:cs="Times New Roman"/>
      <w:sz w:val="26"/>
      <w:szCs w:val="26"/>
    </w:rPr>
  </w:style>
  <w:style w:type="paragraph" w:customStyle="1" w:styleId="11">
    <w:name w:val="Без интервала1"/>
    <w:rsid w:val="00E3757A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msonormalcxspmiddle">
    <w:name w:val="msonormalcxspmiddle"/>
    <w:basedOn w:val="a"/>
    <w:rsid w:val="00E3757A"/>
    <w:pPr>
      <w:spacing w:before="100" w:beforeAutospacing="1" w:after="100" w:afterAutospacing="1"/>
    </w:pPr>
  </w:style>
  <w:style w:type="character" w:customStyle="1" w:styleId="a8">
    <w:name w:val="Абзац списка Знак"/>
    <w:aliases w:val="Cablenet Знак"/>
    <w:basedOn w:val="a0"/>
    <w:link w:val="a7"/>
    <w:uiPriority w:val="1"/>
    <w:locked/>
    <w:rsid w:val="00E375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1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3A26B0E-8356-42F5-8B55-C11F037AF1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842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Serviciul Juridic</cp:lastModifiedBy>
  <cp:revision>46</cp:revision>
  <cp:lastPrinted>2025-08-07T07:38:00Z</cp:lastPrinted>
  <dcterms:created xsi:type="dcterms:W3CDTF">2025-04-01T11:36:00Z</dcterms:created>
  <dcterms:modified xsi:type="dcterms:W3CDTF">2025-08-07T11:35:00Z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