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49FE223E" w14:textId="357483C2" w:rsidR="00AF7130" w:rsidRPr="00AF7130" w:rsidRDefault="00AF7130" w:rsidP="00AF7130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226A5262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9E220D">
        <w:rPr>
          <w:b/>
          <w:lang w:val="en-US"/>
        </w:rPr>
        <w:t>7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4F435195" w14:textId="77777777" w:rsidR="00FF6E1B" w:rsidRDefault="00FF6E1B" w:rsidP="00FF6E1B">
      <w:pPr>
        <w:spacing w:line="276" w:lineRule="auto"/>
        <w:rPr>
          <w:b/>
          <w:lang w:val="ro-RO"/>
        </w:rPr>
      </w:pPr>
    </w:p>
    <w:p w14:paraId="63BF45F2" w14:textId="77777777" w:rsidR="009E220D" w:rsidRPr="006E70B9" w:rsidRDefault="009E220D" w:rsidP="009E220D">
      <w:pPr>
        <w:rPr>
          <w:b/>
          <w:sz w:val="22"/>
          <w:szCs w:val="22"/>
          <w:lang w:val="ro-RO"/>
        </w:rPr>
      </w:pPr>
      <w:r w:rsidRPr="006E70B9">
        <w:rPr>
          <w:b/>
          <w:sz w:val="22"/>
          <w:szCs w:val="22"/>
          <w:lang w:val="ro-RO"/>
        </w:rPr>
        <w:t xml:space="preserve">Cu privire la instituirea Comisiei de concurs pentru ocuparea funcțiilor </w:t>
      </w:r>
    </w:p>
    <w:p w14:paraId="3BEB3A98" w14:textId="77777777" w:rsidR="009E220D" w:rsidRPr="006E70B9" w:rsidRDefault="009E220D" w:rsidP="009E220D">
      <w:pPr>
        <w:rPr>
          <w:b/>
          <w:sz w:val="22"/>
          <w:szCs w:val="22"/>
          <w:lang w:val="ro-RO"/>
        </w:rPr>
      </w:pPr>
      <w:r w:rsidRPr="006E70B9">
        <w:rPr>
          <w:b/>
          <w:sz w:val="22"/>
          <w:szCs w:val="22"/>
          <w:lang w:val="ro-RO"/>
        </w:rPr>
        <w:t>publice vacante de conducere din cadrul subdiviziunilor Consiliului raional</w:t>
      </w:r>
    </w:p>
    <w:p w14:paraId="4A339F5A" w14:textId="77777777" w:rsidR="009E220D" w:rsidRPr="006E70B9" w:rsidRDefault="009E220D" w:rsidP="009E220D">
      <w:pPr>
        <w:rPr>
          <w:b/>
          <w:sz w:val="22"/>
          <w:szCs w:val="22"/>
          <w:lang w:val="ro-RO"/>
        </w:rPr>
      </w:pPr>
    </w:p>
    <w:p w14:paraId="39751A22" w14:textId="77777777" w:rsidR="009E220D" w:rsidRPr="006E70B9" w:rsidRDefault="009E220D" w:rsidP="009E220D">
      <w:pPr>
        <w:jc w:val="both"/>
        <w:rPr>
          <w:sz w:val="22"/>
          <w:szCs w:val="22"/>
          <w:lang w:val="ro-RO"/>
        </w:rPr>
      </w:pPr>
      <w:r w:rsidRPr="006E70B9">
        <w:rPr>
          <w:sz w:val="22"/>
          <w:szCs w:val="22"/>
          <w:lang w:val="en-US"/>
        </w:rPr>
        <w:tab/>
        <w:t>Având în vedere: Nota de fundamentare „</w:t>
      </w:r>
      <w:r w:rsidRPr="006E70B9">
        <w:rPr>
          <w:sz w:val="22"/>
          <w:szCs w:val="22"/>
          <w:lang w:val="ro-RO"/>
        </w:rPr>
        <w:t>Cu privire la instituirea Comisiei de concurs pentru ocuparea funcțiilor publice vacante de conducere din cadrul subdiviziunilor Consiliului raional”</w:t>
      </w:r>
      <w:r w:rsidRPr="006E70B9">
        <w:rPr>
          <w:bCs/>
          <w:sz w:val="22"/>
          <w:szCs w:val="22"/>
          <w:lang w:val="en-US"/>
        </w:rPr>
        <w:t>.</w:t>
      </w:r>
    </w:p>
    <w:p w14:paraId="5C786D68" w14:textId="3A2BA23C" w:rsidR="009E220D" w:rsidRPr="006E70B9" w:rsidRDefault="009E220D" w:rsidP="009E220D">
      <w:pPr>
        <w:jc w:val="both"/>
        <w:rPr>
          <w:sz w:val="22"/>
          <w:szCs w:val="22"/>
          <w:lang w:val="en-US" w:eastAsia="en-US"/>
        </w:rPr>
      </w:pPr>
      <w:r w:rsidRPr="006E70B9">
        <w:rPr>
          <w:rFonts w:eastAsia="Calibri"/>
          <w:bCs/>
          <w:sz w:val="22"/>
          <w:szCs w:val="22"/>
          <w:lang w:val="ro-RO" w:eastAsia="en-US"/>
        </w:rPr>
        <w:tab/>
      </w:r>
      <w:r w:rsidRPr="006E70B9">
        <w:rPr>
          <w:sz w:val="22"/>
          <w:szCs w:val="22"/>
          <w:lang w:val="en-US"/>
        </w:rPr>
        <w:t xml:space="preserve">În temeiul </w:t>
      </w:r>
      <w:r w:rsidRPr="006E70B9">
        <w:rPr>
          <w:sz w:val="22"/>
          <w:szCs w:val="22"/>
          <w:lang w:val="ro-RO" w:eastAsia="en-US"/>
        </w:rPr>
        <w:t xml:space="preserve">art. 43 alin. (2) al Legii privind Administrația publică locală nr. 436/2006; art. 29 alin. 2) lit. c) al Legii nr. 158/2008 cu privire la funcția publică și statutul funcționarului public; </w:t>
      </w:r>
      <w:r w:rsidRPr="006E70B9">
        <w:rPr>
          <w:sz w:val="22"/>
          <w:szCs w:val="22"/>
          <w:lang w:val="en-US" w:eastAsia="en-US"/>
        </w:rPr>
        <w:t>Legii cu privire la actele normative nr. 100/2017;</w:t>
      </w:r>
      <w:r w:rsidRPr="006E70B9">
        <w:rPr>
          <w:sz w:val="22"/>
          <w:szCs w:val="22"/>
          <w:lang w:val="ro-RO" w:eastAsia="en-US"/>
        </w:rPr>
        <w:t xml:space="preserve"> </w:t>
      </w:r>
      <w:r w:rsidRPr="006E70B9">
        <w:rPr>
          <w:sz w:val="22"/>
          <w:szCs w:val="22"/>
          <w:lang w:val="en-US" w:eastAsia="en-US"/>
        </w:rPr>
        <w:t>pct. 55 lit. a), pct. 61 alin. 4), pct. 65, pct. 69, pct. 72 al Regulamentului cu privire la ocuparea funcției publice prin concurs aprobat prin</w:t>
      </w:r>
      <w:r w:rsidRPr="006E70B9">
        <w:rPr>
          <w:sz w:val="22"/>
          <w:szCs w:val="22"/>
          <w:lang w:val="ro-RO" w:eastAsia="en-US"/>
        </w:rPr>
        <w:t xml:space="preserve"> Hotăr</w:t>
      </w:r>
      <w:r>
        <w:rPr>
          <w:sz w:val="22"/>
          <w:szCs w:val="22"/>
          <w:lang w:val="ro-RO" w:eastAsia="en-US"/>
        </w:rPr>
        <w:t>â</w:t>
      </w:r>
      <w:r w:rsidRPr="006E70B9">
        <w:rPr>
          <w:sz w:val="22"/>
          <w:szCs w:val="22"/>
          <w:lang w:val="ro-RO" w:eastAsia="en-US"/>
        </w:rPr>
        <w:t>rea Guvernului nr. 201/2009 privind punerea în aplicare a prevederilor Legii nr. 158/2008 cu privire la funcția publică și statutul funcționarului public,</w:t>
      </w:r>
      <w:r w:rsidRPr="006E70B9">
        <w:rPr>
          <w:sz w:val="22"/>
          <w:szCs w:val="22"/>
          <w:lang w:val="en-US" w:eastAsia="en-US"/>
        </w:rPr>
        <w:t xml:space="preserve">            </w:t>
      </w:r>
    </w:p>
    <w:p w14:paraId="130A0D92" w14:textId="77777777" w:rsidR="009E220D" w:rsidRPr="006E70B9" w:rsidRDefault="009E220D" w:rsidP="009E220D">
      <w:pPr>
        <w:ind w:firstLine="708"/>
        <w:jc w:val="both"/>
        <w:rPr>
          <w:sz w:val="22"/>
          <w:szCs w:val="22"/>
          <w:lang w:val="ro-RO" w:eastAsia="en-US"/>
        </w:rPr>
      </w:pPr>
      <w:r w:rsidRPr="006E70B9">
        <w:rPr>
          <w:sz w:val="22"/>
          <w:szCs w:val="22"/>
          <w:lang w:val="en-US" w:eastAsia="en-US"/>
        </w:rPr>
        <w:t>Consiliul raional,</w:t>
      </w:r>
    </w:p>
    <w:p w14:paraId="03B744E7" w14:textId="77777777" w:rsidR="009E220D" w:rsidRPr="006E70B9" w:rsidRDefault="009E220D" w:rsidP="009E220D">
      <w:pPr>
        <w:tabs>
          <w:tab w:val="left" w:pos="709"/>
        </w:tabs>
        <w:spacing w:line="276" w:lineRule="auto"/>
        <w:jc w:val="center"/>
        <w:rPr>
          <w:b/>
          <w:bCs/>
          <w:sz w:val="22"/>
          <w:szCs w:val="22"/>
          <w:lang w:val="ro-RO"/>
        </w:rPr>
      </w:pPr>
      <w:r w:rsidRPr="006E70B9">
        <w:rPr>
          <w:b/>
          <w:bCs/>
          <w:sz w:val="22"/>
          <w:szCs w:val="22"/>
          <w:lang w:val="ro-RO"/>
        </w:rPr>
        <w:t>DECIDE:</w:t>
      </w:r>
    </w:p>
    <w:p w14:paraId="28DB0180" w14:textId="77777777" w:rsidR="009E220D" w:rsidRPr="006E70B9" w:rsidRDefault="009E220D" w:rsidP="009E220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2"/>
          <w:szCs w:val="22"/>
          <w:lang w:val="en-US"/>
        </w:rPr>
      </w:pPr>
      <w:r w:rsidRPr="006E70B9">
        <w:rPr>
          <w:sz w:val="22"/>
          <w:szCs w:val="22"/>
          <w:lang w:val="en-US"/>
        </w:rPr>
        <w:t xml:space="preserve">Se instituie Comisia de concurs pentru ocuparea funcţiilor publice vacante </w:t>
      </w:r>
      <w:r w:rsidRPr="006E70B9">
        <w:rPr>
          <w:sz w:val="22"/>
          <w:szCs w:val="22"/>
          <w:lang w:val="ro-RO"/>
        </w:rPr>
        <w:t>de șefi ai subdiviziunilor subordonate Consiliului raional</w:t>
      </w:r>
      <w:r w:rsidRPr="006E70B9">
        <w:rPr>
          <w:sz w:val="22"/>
          <w:szCs w:val="22"/>
          <w:lang w:val="en-US"/>
        </w:rPr>
        <w:t>, în următoarea componenţă: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7087"/>
      </w:tblGrid>
      <w:tr w:rsidR="009E220D" w:rsidRPr="00B95967" w14:paraId="18C679D7" w14:textId="77777777" w:rsidTr="009E220D">
        <w:tc>
          <w:tcPr>
            <w:tcW w:w="534" w:type="dxa"/>
          </w:tcPr>
          <w:p w14:paraId="74D54C16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 w:rsidRPr="006E70B9"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2126" w:type="dxa"/>
          </w:tcPr>
          <w:p w14:paraId="35D4D7DC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Angela MIHALIUC</w:t>
            </w:r>
          </w:p>
        </w:tc>
        <w:tc>
          <w:tcPr>
            <w:tcW w:w="7087" w:type="dxa"/>
          </w:tcPr>
          <w:p w14:paraId="4169F41B" w14:textId="4A9EE4B9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Președinta</w:t>
            </w:r>
            <w:r w:rsidRPr="006E70B9">
              <w:rPr>
                <w:b/>
                <w:sz w:val="22"/>
                <w:szCs w:val="22"/>
                <w:lang w:val="en-US"/>
              </w:rPr>
              <w:t xml:space="preserve"> comisiei</w:t>
            </w:r>
            <w:r w:rsidRPr="006E70B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Secretară interimară a Consiliului Raional;</w:t>
            </w:r>
          </w:p>
        </w:tc>
      </w:tr>
      <w:tr w:rsidR="009E220D" w:rsidRPr="00B95967" w14:paraId="5CFAF65D" w14:textId="77777777" w:rsidTr="009E220D">
        <w:tc>
          <w:tcPr>
            <w:tcW w:w="534" w:type="dxa"/>
          </w:tcPr>
          <w:p w14:paraId="113CF244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 w:rsidRPr="006E70B9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2126" w:type="dxa"/>
          </w:tcPr>
          <w:p w14:paraId="6A26E747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 w:rsidRPr="006E70B9">
              <w:rPr>
                <w:sz w:val="22"/>
                <w:szCs w:val="22"/>
                <w:lang w:val="en-US"/>
              </w:rPr>
              <w:t>Aliona CRĂCIUN</w:t>
            </w:r>
          </w:p>
        </w:tc>
        <w:tc>
          <w:tcPr>
            <w:tcW w:w="7087" w:type="dxa"/>
          </w:tcPr>
          <w:p w14:paraId="7183810E" w14:textId="4CB95729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Secretara</w:t>
            </w:r>
            <w:r w:rsidRPr="006E70B9">
              <w:rPr>
                <w:b/>
                <w:sz w:val="22"/>
                <w:szCs w:val="22"/>
                <w:lang w:val="en-US"/>
              </w:rPr>
              <w:t xml:space="preserve"> comisiei</w:t>
            </w:r>
            <w:r w:rsidRPr="006E70B9">
              <w:rPr>
                <w:sz w:val="22"/>
                <w:szCs w:val="22"/>
                <w:lang w:val="en-US"/>
              </w:rPr>
              <w:t>, specialistă principală, Secția Juridică și Resurse Umane</w:t>
            </w:r>
            <w:r>
              <w:rPr>
                <w:sz w:val="22"/>
                <w:szCs w:val="22"/>
                <w:lang w:val="en-US"/>
              </w:rPr>
              <w:t>;</w:t>
            </w:r>
          </w:p>
        </w:tc>
      </w:tr>
      <w:tr w:rsidR="009E220D" w:rsidRPr="006E70B9" w14:paraId="4030F8DE" w14:textId="77777777" w:rsidTr="009E220D">
        <w:tc>
          <w:tcPr>
            <w:tcW w:w="9747" w:type="dxa"/>
            <w:gridSpan w:val="3"/>
          </w:tcPr>
          <w:p w14:paraId="22CA266D" w14:textId="77777777" w:rsidR="009E220D" w:rsidRPr="006E70B9" w:rsidRDefault="009E220D" w:rsidP="00627D2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6E70B9">
              <w:rPr>
                <w:b/>
                <w:i/>
                <w:sz w:val="22"/>
                <w:szCs w:val="22"/>
                <w:lang w:val="en-US"/>
              </w:rPr>
              <w:t>Membrii comisiei:</w:t>
            </w:r>
          </w:p>
        </w:tc>
      </w:tr>
      <w:tr w:rsidR="009E220D" w:rsidRPr="006E70B9" w14:paraId="0FF7F5A1" w14:textId="77777777" w:rsidTr="009E220D">
        <w:tc>
          <w:tcPr>
            <w:tcW w:w="534" w:type="dxa"/>
          </w:tcPr>
          <w:p w14:paraId="31C82B40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 w:rsidRPr="006E70B9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2126" w:type="dxa"/>
          </w:tcPr>
          <w:p w14:paraId="672FFE7B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Vera SERBUȘCA</w:t>
            </w:r>
          </w:p>
        </w:tc>
        <w:tc>
          <w:tcPr>
            <w:tcW w:w="7087" w:type="dxa"/>
          </w:tcPr>
          <w:p w14:paraId="3742926B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Vicepreședinta</w:t>
            </w:r>
            <w:r w:rsidRPr="006E70B9">
              <w:rPr>
                <w:sz w:val="22"/>
                <w:szCs w:val="22"/>
                <w:lang w:val="en-US"/>
              </w:rPr>
              <w:t xml:space="preserve"> raionului</w:t>
            </w:r>
          </w:p>
        </w:tc>
      </w:tr>
      <w:tr w:rsidR="009E220D" w:rsidRPr="006E70B9" w14:paraId="007DE633" w14:textId="77777777" w:rsidTr="009E220D">
        <w:tc>
          <w:tcPr>
            <w:tcW w:w="534" w:type="dxa"/>
          </w:tcPr>
          <w:p w14:paraId="3696E466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 w:rsidRPr="006E70B9">
              <w:rPr>
                <w:sz w:val="22"/>
                <w:szCs w:val="22"/>
                <w:lang w:val="en-US"/>
              </w:rPr>
              <w:t>1.4</w:t>
            </w:r>
          </w:p>
        </w:tc>
        <w:tc>
          <w:tcPr>
            <w:tcW w:w="2126" w:type="dxa"/>
          </w:tcPr>
          <w:p w14:paraId="55C4FEC3" w14:textId="3752DE5C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Igor STARÎI</w:t>
            </w:r>
          </w:p>
        </w:tc>
        <w:tc>
          <w:tcPr>
            <w:tcW w:w="7087" w:type="dxa"/>
          </w:tcPr>
          <w:p w14:paraId="016E534A" w14:textId="697F123D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 w:rsidRPr="006E70B9">
              <w:rPr>
                <w:sz w:val="22"/>
                <w:szCs w:val="22"/>
                <w:lang w:val="en-US"/>
              </w:rPr>
              <w:t>consilier raional</w:t>
            </w:r>
          </w:p>
        </w:tc>
      </w:tr>
      <w:tr w:rsidR="009E220D" w:rsidRPr="006E70B9" w14:paraId="6CEF5A8D" w14:textId="77777777" w:rsidTr="009E220D">
        <w:tc>
          <w:tcPr>
            <w:tcW w:w="534" w:type="dxa"/>
          </w:tcPr>
          <w:p w14:paraId="78F4DB5C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 w:rsidRPr="006E70B9"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2126" w:type="dxa"/>
          </w:tcPr>
          <w:p w14:paraId="649063E6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Oxana BONTEA</w:t>
            </w:r>
          </w:p>
        </w:tc>
        <w:tc>
          <w:tcPr>
            <w:tcW w:w="7087" w:type="dxa"/>
          </w:tcPr>
          <w:p w14:paraId="12554972" w14:textId="77777777" w:rsidR="009E220D" w:rsidRPr="006E70B9" w:rsidRDefault="009E220D" w:rsidP="00627D25">
            <w:pPr>
              <w:ind w:right="-426"/>
              <w:rPr>
                <w:sz w:val="22"/>
                <w:szCs w:val="22"/>
                <w:lang w:val="en-US"/>
              </w:rPr>
            </w:pPr>
            <w:r w:rsidRPr="006E70B9">
              <w:rPr>
                <w:sz w:val="22"/>
                <w:szCs w:val="22"/>
                <w:lang w:val="en-US"/>
              </w:rPr>
              <w:t>consilier</w:t>
            </w:r>
            <w:r>
              <w:rPr>
                <w:sz w:val="22"/>
                <w:szCs w:val="22"/>
                <w:lang w:val="en-US"/>
              </w:rPr>
              <w:t>a</w:t>
            </w:r>
            <w:r w:rsidRPr="006E70B9">
              <w:rPr>
                <w:sz w:val="22"/>
                <w:szCs w:val="22"/>
                <w:lang w:val="en-US"/>
              </w:rPr>
              <w:t xml:space="preserve"> raional</w:t>
            </w:r>
            <w:r>
              <w:rPr>
                <w:sz w:val="22"/>
                <w:szCs w:val="22"/>
                <w:lang w:val="en-US"/>
              </w:rPr>
              <w:t>ă</w:t>
            </w:r>
          </w:p>
        </w:tc>
      </w:tr>
      <w:tr w:rsidR="009E220D" w:rsidRPr="00B95967" w14:paraId="34FE3917" w14:textId="77777777" w:rsidTr="009E220D">
        <w:tc>
          <w:tcPr>
            <w:tcW w:w="534" w:type="dxa"/>
          </w:tcPr>
          <w:p w14:paraId="3571BFA5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 w:rsidRPr="006E70B9">
              <w:rPr>
                <w:sz w:val="22"/>
                <w:szCs w:val="22"/>
                <w:lang w:val="en-US"/>
              </w:rPr>
              <w:t>1.6</w:t>
            </w:r>
          </w:p>
        </w:tc>
        <w:tc>
          <w:tcPr>
            <w:tcW w:w="2126" w:type="dxa"/>
          </w:tcPr>
          <w:p w14:paraId="67D1F07C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Oxana TABARCEA</w:t>
            </w:r>
            <w:r w:rsidRPr="006E70B9">
              <w:rPr>
                <w:sz w:val="22"/>
                <w:szCs w:val="22"/>
                <w:lang w:val="en-US"/>
              </w:rPr>
              <w:t xml:space="preserve">         </w:t>
            </w:r>
          </w:p>
        </w:tc>
        <w:tc>
          <w:tcPr>
            <w:tcW w:w="7087" w:type="dxa"/>
          </w:tcPr>
          <w:p w14:paraId="7C03B330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Șefă, </w:t>
            </w:r>
            <w:r w:rsidRPr="006E70B9">
              <w:rPr>
                <w:sz w:val="22"/>
                <w:szCs w:val="22"/>
                <w:lang w:val="en-US"/>
              </w:rPr>
              <w:t>Secția Juridică și Resurse Umane</w:t>
            </w:r>
          </w:p>
        </w:tc>
      </w:tr>
      <w:tr w:rsidR="009E220D" w:rsidRPr="00B95967" w14:paraId="1E3BE502" w14:textId="77777777" w:rsidTr="009E220D">
        <w:tc>
          <w:tcPr>
            <w:tcW w:w="534" w:type="dxa"/>
          </w:tcPr>
          <w:p w14:paraId="17E0FC8D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 w:rsidRPr="006E70B9">
              <w:rPr>
                <w:sz w:val="22"/>
                <w:szCs w:val="22"/>
                <w:lang w:val="en-US"/>
              </w:rPr>
              <w:t>1.7</w:t>
            </w:r>
          </w:p>
        </w:tc>
        <w:tc>
          <w:tcPr>
            <w:tcW w:w="2126" w:type="dxa"/>
          </w:tcPr>
          <w:p w14:paraId="2D4574DB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Cătălin SANDU</w:t>
            </w:r>
          </w:p>
        </w:tc>
        <w:tc>
          <w:tcPr>
            <w:tcW w:w="7087" w:type="dxa"/>
          </w:tcPr>
          <w:p w14:paraId="5CA0C1E9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specialist principal</w:t>
            </w:r>
            <w:r w:rsidRPr="006E70B9">
              <w:rPr>
                <w:sz w:val="22"/>
                <w:szCs w:val="22"/>
                <w:lang w:val="en-US"/>
              </w:rPr>
              <w:t>, Secția Juridică și Resurse Umane</w:t>
            </w:r>
          </w:p>
        </w:tc>
      </w:tr>
      <w:tr w:rsidR="009E220D" w:rsidRPr="006E70B9" w14:paraId="2EC29419" w14:textId="77777777" w:rsidTr="009E220D">
        <w:tc>
          <w:tcPr>
            <w:tcW w:w="9747" w:type="dxa"/>
            <w:gridSpan w:val="3"/>
          </w:tcPr>
          <w:p w14:paraId="7ACD3DA3" w14:textId="77777777" w:rsidR="009E220D" w:rsidRPr="006E70B9" w:rsidRDefault="009E220D" w:rsidP="00627D2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6E70B9">
              <w:rPr>
                <w:b/>
                <w:i/>
                <w:sz w:val="22"/>
                <w:szCs w:val="22"/>
                <w:lang w:val="en-US"/>
              </w:rPr>
              <w:t>Me</w:t>
            </w:r>
            <w:r>
              <w:rPr>
                <w:b/>
                <w:i/>
                <w:sz w:val="22"/>
                <w:szCs w:val="22"/>
                <w:lang w:val="en-US"/>
              </w:rPr>
              <w:t>m</w:t>
            </w:r>
            <w:r w:rsidRPr="006E70B9">
              <w:rPr>
                <w:b/>
                <w:i/>
                <w:sz w:val="22"/>
                <w:szCs w:val="22"/>
                <w:lang w:val="en-US"/>
              </w:rPr>
              <w:t>brii supleanți</w:t>
            </w:r>
          </w:p>
        </w:tc>
      </w:tr>
      <w:tr w:rsidR="009E220D" w:rsidRPr="006E70B9" w14:paraId="5521D45B" w14:textId="77777777" w:rsidTr="009E220D">
        <w:tc>
          <w:tcPr>
            <w:tcW w:w="534" w:type="dxa"/>
          </w:tcPr>
          <w:p w14:paraId="79B83C8D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 w:rsidRPr="006E70B9">
              <w:rPr>
                <w:sz w:val="22"/>
                <w:szCs w:val="22"/>
                <w:lang w:val="en-US"/>
              </w:rPr>
              <w:t>1.8</w:t>
            </w:r>
          </w:p>
        </w:tc>
        <w:tc>
          <w:tcPr>
            <w:tcW w:w="2126" w:type="dxa"/>
          </w:tcPr>
          <w:p w14:paraId="2BF7D347" w14:textId="266B3258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Vasile BREGA</w:t>
            </w:r>
          </w:p>
        </w:tc>
        <w:tc>
          <w:tcPr>
            <w:tcW w:w="7087" w:type="dxa"/>
          </w:tcPr>
          <w:p w14:paraId="5D710D8D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 w:rsidRPr="006E70B9">
              <w:rPr>
                <w:sz w:val="22"/>
                <w:szCs w:val="22"/>
                <w:lang w:val="en-US"/>
              </w:rPr>
              <w:t>consilier raional</w:t>
            </w:r>
          </w:p>
        </w:tc>
      </w:tr>
      <w:tr w:rsidR="009E220D" w:rsidRPr="00B95967" w14:paraId="631557CC" w14:textId="77777777" w:rsidTr="009E220D">
        <w:tc>
          <w:tcPr>
            <w:tcW w:w="534" w:type="dxa"/>
          </w:tcPr>
          <w:p w14:paraId="0DDC83C0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 w:rsidRPr="006E70B9">
              <w:rPr>
                <w:sz w:val="22"/>
                <w:szCs w:val="22"/>
                <w:lang w:val="en-US"/>
              </w:rPr>
              <w:t>1.9</w:t>
            </w:r>
          </w:p>
        </w:tc>
        <w:tc>
          <w:tcPr>
            <w:tcW w:w="2126" w:type="dxa"/>
          </w:tcPr>
          <w:p w14:paraId="5FB7044F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Ion HARABAGIU</w:t>
            </w:r>
          </w:p>
        </w:tc>
        <w:tc>
          <w:tcPr>
            <w:tcW w:w="7087" w:type="dxa"/>
          </w:tcPr>
          <w:p w14:paraId="0B2D474F" w14:textId="77777777" w:rsidR="009E220D" w:rsidRPr="006E70B9" w:rsidRDefault="009E220D" w:rsidP="00627D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Șef, Serviciul Agricultură și Cadastru.</w:t>
            </w:r>
          </w:p>
        </w:tc>
      </w:tr>
    </w:tbl>
    <w:p w14:paraId="44D60C7E" w14:textId="77777777" w:rsidR="009E220D" w:rsidRPr="006E70B9" w:rsidRDefault="009E220D" w:rsidP="009E220D">
      <w:pPr>
        <w:pStyle w:val="a3"/>
        <w:numPr>
          <w:ilvl w:val="0"/>
          <w:numId w:val="33"/>
        </w:numPr>
        <w:tabs>
          <w:tab w:val="left" w:pos="0"/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sz w:val="22"/>
          <w:szCs w:val="22"/>
          <w:lang w:val="ro-RO" w:eastAsia="en-US"/>
        </w:rPr>
      </w:pPr>
      <w:r w:rsidRPr="006E70B9">
        <w:rPr>
          <w:rFonts w:eastAsia="Calibri"/>
          <w:bCs/>
          <w:sz w:val="22"/>
          <w:szCs w:val="22"/>
          <w:lang w:val="ro-RO" w:eastAsia="en-US"/>
        </w:rPr>
        <w:t>Responsabil de monitorizarea executării deciziei în cauză se desemnează dl Cristian CAINARIAN, Preşedintele raionului.</w:t>
      </w:r>
    </w:p>
    <w:p w14:paraId="62AA2061" w14:textId="77777777" w:rsidR="009E220D" w:rsidRPr="006E70B9" w:rsidRDefault="009E220D" w:rsidP="009E220D">
      <w:pPr>
        <w:pStyle w:val="a3"/>
        <w:numPr>
          <w:ilvl w:val="0"/>
          <w:numId w:val="33"/>
        </w:numPr>
        <w:tabs>
          <w:tab w:val="left" w:pos="0"/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sz w:val="22"/>
          <w:szCs w:val="22"/>
          <w:lang w:val="ro-RO" w:eastAsia="en-US"/>
        </w:rPr>
      </w:pPr>
      <w:r w:rsidRPr="006E70B9">
        <w:rPr>
          <w:rFonts w:eastAsia="Calibri"/>
          <w:bCs/>
          <w:sz w:val="22"/>
          <w:szCs w:val="22"/>
          <w:lang w:val="ro-RO" w:eastAsia="en-US"/>
        </w:rPr>
        <w:t>Se abrogă Decizia Consiliului raional nr. 1/11 din 15.01.2024 „Cu privire la instituirea Comisiei de concurs pentru ocuparea funcțiilor publice vacante de conducere din cadrul subdiviziunilor Consiliului raional”.</w:t>
      </w:r>
    </w:p>
    <w:p w14:paraId="33A90494" w14:textId="77777777" w:rsidR="009E220D" w:rsidRPr="006E70B9" w:rsidRDefault="009E220D" w:rsidP="009E220D">
      <w:pPr>
        <w:pStyle w:val="a3"/>
        <w:numPr>
          <w:ilvl w:val="0"/>
          <w:numId w:val="33"/>
        </w:numPr>
        <w:tabs>
          <w:tab w:val="left" w:pos="0"/>
          <w:tab w:val="left" w:pos="993"/>
        </w:tabs>
        <w:spacing w:after="200"/>
        <w:ind w:left="0" w:firstLine="709"/>
        <w:contextualSpacing/>
        <w:jc w:val="both"/>
        <w:rPr>
          <w:rFonts w:eastAsia="Calibri"/>
          <w:b/>
          <w:bCs/>
          <w:sz w:val="22"/>
          <w:szCs w:val="22"/>
          <w:lang w:val="ro-RO" w:eastAsia="en-US"/>
        </w:rPr>
      </w:pPr>
      <w:r w:rsidRPr="006E70B9">
        <w:rPr>
          <w:rFonts w:eastAsia="Calibri"/>
          <w:bCs/>
          <w:sz w:val="22"/>
          <w:szCs w:val="22"/>
          <w:lang w:val="ro-RO" w:eastAsia="en-US"/>
        </w:rPr>
        <w:t xml:space="preserve">Controlul asupra realizării deciziei în cauză, se pune în sarcina </w:t>
      </w:r>
      <w:r w:rsidRPr="006E70B9">
        <w:rPr>
          <w:rStyle w:val="a5"/>
          <w:rFonts w:eastAsiaTheme="majorEastAsia"/>
          <w:b w:val="0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t>Comisiei consultative pentru Etică, legislație, ordine și drepturile omului</w:t>
      </w:r>
      <w:r w:rsidRPr="006E70B9">
        <w:rPr>
          <w:color w:val="000000"/>
          <w:sz w:val="22"/>
          <w:szCs w:val="22"/>
          <w:shd w:val="clear" w:color="auto" w:fill="FFFFFF"/>
          <w:lang w:val="en-US"/>
        </w:rPr>
        <w:t>.</w:t>
      </w:r>
    </w:p>
    <w:p w14:paraId="76216559" w14:textId="1EA0915B" w:rsidR="009E220D" w:rsidRPr="006E70B9" w:rsidRDefault="009E220D" w:rsidP="009E220D">
      <w:pPr>
        <w:pStyle w:val="a3"/>
        <w:numPr>
          <w:ilvl w:val="0"/>
          <w:numId w:val="33"/>
        </w:numPr>
        <w:tabs>
          <w:tab w:val="left" w:pos="0"/>
          <w:tab w:val="left" w:pos="993"/>
        </w:tabs>
        <w:spacing w:line="276" w:lineRule="auto"/>
        <w:ind w:left="0" w:firstLine="705"/>
        <w:jc w:val="both"/>
        <w:rPr>
          <w:rFonts w:eastAsia="Calibri"/>
          <w:bCs/>
          <w:sz w:val="22"/>
          <w:szCs w:val="22"/>
          <w:lang w:val="ro-RO" w:eastAsia="en-US"/>
        </w:rPr>
      </w:pPr>
      <w:r w:rsidRPr="006E70B9">
        <w:rPr>
          <w:rFonts w:eastAsia="Calibri"/>
          <w:bCs/>
          <w:sz w:val="22"/>
          <w:szCs w:val="22"/>
          <w:lang w:val="ro-RO" w:eastAsia="en-US"/>
        </w:rPr>
        <w:t xml:space="preserve">Prezenta decizie poate fi contestată la Judecătoria Bălți (sediul Central, str. Hotinului, nr. 43) în termen de 30 zile de la data </w:t>
      </w:r>
      <w:r>
        <w:rPr>
          <w:rFonts w:eastAsia="Calibri"/>
          <w:bCs/>
          <w:sz w:val="22"/>
          <w:szCs w:val="22"/>
          <w:lang w:val="ro-RO" w:eastAsia="en-US"/>
        </w:rPr>
        <w:t>publicării</w:t>
      </w:r>
      <w:r w:rsidRPr="006E70B9">
        <w:rPr>
          <w:rFonts w:eastAsia="Calibri"/>
          <w:bCs/>
          <w:sz w:val="22"/>
          <w:szCs w:val="22"/>
          <w:lang w:val="ro-RO" w:eastAsia="en-US"/>
        </w:rPr>
        <w:t>, potrivit prevederilor Codului Administrativ al Republicii Moldova nr. 116/2018.</w:t>
      </w:r>
    </w:p>
    <w:p w14:paraId="1CD82842" w14:textId="77777777" w:rsidR="00DE573C" w:rsidRDefault="00DE573C" w:rsidP="00CE1234">
      <w:pPr>
        <w:jc w:val="both"/>
        <w:rPr>
          <w:rFonts w:eastAsia="Calibri"/>
          <w:b/>
          <w:lang w:val="it-IT"/>
        </w:rPr>
      </w:pPr>
    </w:p>
    <w:p w14:paraId="530F7475" w14:textId="5AB2D172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0C8BD343" w14:textId="1A476C26" w:rsidR="001952DD" w:rsidRDefault="001D46BE" w:rsidP="003A3021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9F74F7">
        <w:rPr>
          <w:rFonts w:eastAsia="Calibri"/>
          <w:b/>
          <w:lang w:val="it-IT"/>
        </w:rPr>
        <w:t>ă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5449EA04" w14:textId="77777777" w:rsidR="00AF7130" w:rsidRDefault="00AF7130" w:rsidP="00AF7130">
      <w:pPr>
        <w:rPr>
          <w:b/>
          <w:i/>
          <w:lang w:val="en-US"/>
        </w:rPr>
      </w:pPr>
    </w:p>
    <w:p w14:paraId="51EF7E25" w14:textId="77777777" w:rsidR="00AF7130" w:rsidRPr="006E3C9E" w:rsidRDefault="00AF7130" w:rsidP="00AF7130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13FF21BC" w14:textId="0FD81A22" w:rsidR="0046729C" w:rsidRPr="00B65A02" w:rsidRDefault="00AF7130" w:rsidP="00AF7130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</w:t>
      </w:r>
      <w:r w:rsidR="00B95967">
        <w:rPr>
          <w:b/>
          <w:lang w:val="en-US"/>
        </w:rPr>
        <w:t>ă</w:t>
      </w:r>
      <w:bookmarkStart w:id="0" w:name="_GoBack"/>
      <w:bookmarkEnd w:id="0"/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sectPr w:rsidR="0046729C" w:rsidRPr="00B65A02" w:rsidSect="003A302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7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9">
    <w:nsid w:val="514752B2"/>
    <w:multiLevelType w:val="hybridMultilevel"/>
    <w:tmpl w:val="790A0F6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1">
    <w:nsid w:val="5A400A6F"/>
    <w:multiLevelType w:val="hybridMultilevel"/>
    <w:tmpl w:val="6DD27FBC"/>
    <w:lvl w:ilvl="0" w:tplc="EE385D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4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5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7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9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31">
    <w:nsid w:val="7C8D0371"/>
    <w:multiLevelType w:val="multilevel"/>
    <w:tmpl w:val="9F5C1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27"/>
  </w:num>
  <w:num w:numId="3">
    <w:abstractNumId w:val="2"/>
  </w:num>
  <w:num w:numId="4">
    <w:abstractNumId w:val="22"/>
  </w:num>
  <w:num w:numId="5">
    <w:abstractNumId w:val="0"/>
  </w:num>
  <w:num w:numId="6">
    <w:abstractNumId w:val="18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5"/>
  </w:num>
  <w:num w:numId="11">
    <w:abstractNumId w:val="11"/>
  </w:num>
  <w:num w:numId="12">
    <w:abstractNumId w:val="23"/>
  </w:num>
  <w:num w:numId="13">
    <w:abstractNumId w:val="8"/>
  </w:num>
  <w:num w:numId="14">
    <w:abstractNumId w:val="16"/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8"/>
  </w:num>
  <w:num w:numId="19">
    <w:abstractNumId w:val="20"/>
  </w:num>
  <w:num w:numId="20">
    <w:abstractNumId w:val="9"/>
  </w:num>
  <w:num w:numId="21">
    <w:abstractNumId w:val="10"/>
  </w:num>
  <w:num w:numId="22">
    <w:abstractNumId w:val="24"/>
  </w:num>
  <w:num w:numId="23">
    <w:abstractNumId w:val="26"/>
  </w:num>
  <w:num w:numId="24">
    <w:abstractNumId w:val="4"/>
  </w:num>
  <w:num w:numId="25">
    <w:abstractNumId w:val="29"/>
  </w:num>
  <w:num w:numId="26">
    <w:abstractNumId w:val="3"/>
  </w:num>
  <w:num w:numId="27">
    <w:abstractNumId w:val="3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1"/>
  </w:num>
  <w:num w:numId="3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637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952DD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37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A3021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1CE1"/>
    <w:rsid w:val="00925BC4"/>
    <w:rsid w:val="009266B5"/>
    <w:rsid w:val="00971DEB"/>
    <w:rsid w:val="00976CAD"/>
    <w:rsid w:val="009801B4"/>
    <w:rsid w:val="00981661"/>
    <w:rsid w:val="009A14D2"/>
    <w:rsid w:val="009A6D32"/>
    <w:rsid w:val="009C3EA5"/>
    <w:rsid w:val="009E220D"/>
    <w:rsid w:val="009E6546"/>
    <w:rsid w:val="009F74F7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AF7130"/>
    <w:rsid w:val="00B30254"/>
    <w:rsid w:val="00B46D3A"/>
    <w:rsid w:val="00B55B40"/>
    <w:rsid w:val="00B65A02"/>
    <w:rsid w:val="00B67FA6"/>
    <w:rsid w:val="00B76CC9"/>
    <w:rsid w:val="00B87A73"/>
    <w:rsid w:val="00B95967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4C6C-29D1-4943-8A4E-E5096C97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4</cp:revision>
  <cp:lastPrinted>2024-12-05T08:37:00Z</cp:lastPrinted>
  <dcterms:created xsi:type="dcterms:W3CDTF">2025-09-02T12:38:00Z</dcterms:created>
  <dcterms:modified xsi:type="dcterms:W3CDTF">2025-09-02T13:40:00Z</dcterms:modified>
</cp:coreProperties>
</file>