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556"/>
        <w:tblW w:w="10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6430"/>
        <w:gridCol w:w="1848"/>
      </w:tblGrid>
      <w:tr w:rsidR="00B61B86" w:rsidRPr="00A835CB" w:rsidTr="00B61B86">
        <w:trPr>
          <w:trHeight w:val="1418"/>
        </w:trPr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1B86" w:rsidRPr="00A835CB" w:rsidRDefault="00B61B86" w:rsidP="00E602E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</w:p>
          <w:p w:rsidR="00B61B86" w:rsidRPr="00A835CB" w:rsidRDefault="00B61B86" w:rsidP="00E602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35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0" wp14:anchorId="6D99C75B" wp14:editId="3F81D935">
                  <wp:simplePos x="0" y="0"/>
                  <wp:positionH relativeFrom="margin">
                    <wp:posOffset>120015</wp:posOffset>
                  </wp:positionH>
                  <wp:positionV relativeFrom="margin">
                    <wp:posOffset>219075</wp:posOffset>
                  </wp:positionV>
                  <wp:extent cx="569595" cy="685800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1B86" w:rsidRPr="00A835CB" w:rsidRDefault="00B61B86" w:rsidP="00E6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61B86" w:rsidRPr="00A835CB" w:rsidRDefault="00B61B86" w:rsidP="00E602E1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REPUBLICA  MOLDOVA</w:t>
            </w:r>
          </w:p>
          <w:p w:rsidR="00B61B86" w:rsidRPr="00A835CB" w:rsidRDefault="00B61B86" w:rsidP="00E602E1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CONSILIUL  RAIONAL</w:t>
            </w:r>
          </w:p>
          <w:p w:rsidR="00B61B86" w:rsidRPr="00A835CB" w:rsidRDefault="00B61B86" w:rsidP="00E602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ÎNGEREI</w:t>
            </w:r>
          </w:p>
          <w:p w:rsidR="00B61B86" w:rsidRPr="00A835CB" w:rsidRDefault="00B61B86" w:rsidP="00E602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1B86" w:rsidRPr="00A835CB" w:rsidRDefault="00B61B86" w:rsidP="00E602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35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73769680" wp14:editId="27789AF2">
                  <wp:simplePos x="0" y="0"/>
                  <wp:positionH relativeFrom="column">
                    <wp:posOffset>5372100</wp:posOffset>
                  </wp:positionH>
                  <wp:positionV relativeFrom="paragraph">
                    <wp:posOffset>114300</wp:posOffset>
                  </wp:positionV>
                  <wp:extent cx="687070" cy="86614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866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61B86" w:rsidRPr="00A835CB" w:rsidRDefault="00B61B86" w:rsidP="00E602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8DD05DD" wp14:editId="3236C1DB">
                  <wp:extent cx="561975" cy="713276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228" cy="713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1B86" w:rsidRPr="00A835CB" w:rsidRDefault="00B61B86" w:rsidP="00E602E1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B61B86" w:rsidRPr="00A835CB" w:rsidRDefault="00B61B86" w:rsidP="00E602E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61B86" w:rsidRPr="00637EDB" w:rsidTr="00B61B86">
        <w:trPr>
          <w:trHeight w:val="289"/>
        </w:trPr>
        <w:tc>
          <w:tcPr>
            <w:tcW w:w="10212" w:type="dxa"/>
            <w:gridSpan w:val="3"/>
            <w:tcBorders>
              <w:top w:val="single" w:sz="4" w:space="0" w:color="auto"/>
              <w:left w:val="nil"/>
              <w:bottom w:val="thinThickSmallGap" w:sz="24" w:space="0" w:color="auto"/>
              <w:right w:val="nil"/>
            </w:tcBorders>
            <w:hideMark/>
          </w:tcPr>
          <w:p w:rsidR="00B61B86" w:rsidRPr="00C158E9" w:rsidRDefault="00B61B86" w:rsidP="00B4356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Direcția </w:t>
            </w:r>
            <w:r w:rsidR="00B43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Asistență Socială și Protecție a Familiei</w:t>
            </w:r>
          </w:p>
        </w:tc>
      </w:tr>
    </w:tbl>
    <w:p w:rsidR="00B61B86" w:rsidRDefault="00B61B86" w:rsidP="00B61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A835CB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NOTĂ INFORMATIVĂ</w:t>
      </w:r>
    </w:p>
    <w:p w:rsidR="00740B90" w:rsidRDefault="00740B90" w:rsidP="00B61B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B61B86" w:rsidRPr="00B61B86" w:rsidRDefault="00B61B86" w:rsidP="00740B90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B61B8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Privind autorizarea casării bunurilor uzate raportate la mijloacele fixe, aflate în gestiunea  Direcției Asistență Socială și Protecție a Familiei</w:t>
      </w:r>
    </w:p>
    <w:p w:rsidR="00AB2738" w:rsidRDefault="00AB2738">
      <w:pPr>
        <w:rPr>
          <w:lang w:val="ro-RO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4"/>
      </w:tblGrid>
      <w:tr w:rsidR="00B61B86" w:rsidRPr="00637EDB" w:rsidTr="00B61B86"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86" w:rsidRPr="00B61B86" w:rsidRDefault="00B61B86" w:rsidP="00B61B8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1B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1. Denumirea autorului și după caz, a  participanților la elaborarea proectului.</w:t>
            </w:r>
          </w:p>
        </w:tc>
      </w:tr>
      <w:tr w:rsidR="00B61B86" w:rsidRPr="00637EDB" w:rsidTr="00B61B86"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86" w:rsidRPr="00B61B86" w:rsidRDefault="00B61B86" w:rsidP="00B61B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Direc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ț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ia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Asisten</w:t>
            </w:r>
            <w:proofErr w:type="spellStart"/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ță</w:t>
            </w:r>
            <w:proofErr w:type="spellEnd"/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Social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ă ș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i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Protec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ț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ie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a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Familiei</w:t>
            </w:r>
            <w:r w:rsidR="00637E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este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autorul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proiectului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de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decizie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privind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autorizarea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cas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ă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rii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bunurilor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uzate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raportate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la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mijloace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fixe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aflate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637E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n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gestiune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B61B86" w:rsidRPr="00637EDB" w:rsidTr="00B61B86"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86" w:rsidRPr="00B61B86" w:rsidRDefault="00B61B86" w:rsidP="00B61B8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1B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2. Condițiile ce au impus elaborarea proiectului de act normativ și finalitățile urmărite</w:t>
            </w:r>
          </w:p>
        </w:tc>
      </w:tr>
      <w:tr w:rsidR="00B61B86" w:rsidRPr="00637EDB" w:rsidTr="00B61B86"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86" w:rsidRPr="00B61B86" w:rsidRDefault="00B61B86" w:rsidP="00B61B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Conform </w:t>
            </w:r>
            <w:proofErr w:type="spellStart"/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ordinu</w:t>
            </w:r>
            <w:r w:rsidR="00DB63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ui</w:t>
            </w:r>
            <w:proofErr w:type="spellEnd"/>
            <w:r w:rsidR="00DB63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DB63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nr</w:t>
            </w:r>
            <w:proofErr w:type="spellEnd"/>
            <w:r w:rsidR="00DB63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114 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din 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07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20 al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șef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ului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DASPF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s-a </w:t>
            </w:r>
            <w:proofErr w:type="spellStart"/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instituit</w:t>
            </w:r>
            <w:proofErr w:type="spellEnd"/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comisia</w:t>
            </w:r>
            <w:proofErr w:type="spellEnd"/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</w:t>
            </w:r>
            <w:r w:rsidR="00637E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 </w:t>
            </w:r>
            <w:proofErr w:type="spellStart"/>
            <w:r w:rsidR="00637E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casare</w:t>
            </w:r>
            <w:proofErr w:type="spellEnd"/>
            <w:r w:rsidR="00637E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="00637E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</w:t>
            </w:r>
            <w:proofErr w:type="spellEnd"/>
            <w:r w:rsidR="00637E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637E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urma</w:t>
            </w:r>
            <w:proofErr w:type="spellEnd"/>
            <w:r w:rsidR="00637E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637E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verificărilor</w:t>
            </w:r>
            <w:proofErr w:type="spellEnd"/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mijloacelor</w:t>
            </w:r>
            <w:proofErr w:type="spellEnd"/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fixe</w:t>
            </w:r>
            <w:r w:rsidR="00DB63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s-au </w:t>
            </w:r>
            <w:proofErr w:type="spellStart"/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depistat</w:t>
            </w:r>
            <w:proofErr w:type="spellEnd"/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următoarele</w:t>
            </w:r>
            <w:proofErr w:type="spellEnd"/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bunuri</w:t>
            </w:r>
            <w:proofErr w:type="spellEnd"/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care au un grad de </w:t>
            </w:r>
            <w:proofErr w:type="spellStart"/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uzură</w:t>
            </w:r>
            <w:proofErr w:type="spellEnd"/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100% 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,  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nu pot  fi  </w:t>
            </w:r>
            <w:proofErr w:type="spellStart"/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reparate</w:t>
            </w:r>
            <w:proofErr w:type="spellEnd"/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modernizate</w:t>
            </w:r>
            <w:proofErr w:type="spellEnd"/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necesită</w:t>
            </w:r>
            <w:proofErr w:type="spellEnd"/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fi </w:t>
            </w:r>
            <w:proofErr w:type="spellStart"/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supuse</w:t>
            </w:r>
            <w:proofErr w:type="spellEnd"/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casării</w:t>
            </w:r>
            <w:proofErr w:type="spellEnd"/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imprimanta Panasonic -2, Calculator  Intel – 2, Calculator intel Pentium -1, Copiator Canon -1, Compiuter 824003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B61B86" w:rsidRPr="00637EDB" w:rsidTr="00B61B86"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86" w:rsidRPr="00B61B86" w:rsidRDefault="00B61B86" w:rsidP="00B61B8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1B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3. Principalele prevederi ale proiectului și evidențierea elementelor noi</w:t>
            </w:r>
          </w:p>
        </w:tc>
      </w:tr>
      <w:tr w:rsidR="00B61B86" w:rsidRPr="00637EDB" w:rsidTr="00B61B86"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86" w:rsidRPr="00B61B86" w:rsidRDefault="00B61B86" w:rsidP="00B61B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Proiectul de decizie este întemeiat în baza art.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43 alin</w:t>
            </w:r>
            <w:r w:rsidR="008B6F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. (1) lit c) al Legii privind administrația p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ublică locală nr.436-XVI din 28 decembrie 2006, conform  </w:t>
            </w:r>
            <w:r w:rsidR="00DB63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prevederilor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Legii cu privire la actele normative nr.100 din 22.12.2017, Hotărâ</w:t>
            </w:r>
            <w:r w:rsidR="00DB63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rii</w:t>
            </w: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Guvernului nr. 500 din 12.05.1998 „Despre aprobarea  Regulamentului  privind casarea bunurilor uzate, raportate la mijloacele fixe”</w:t>
            </w:r>
            <w:r w:rsidR="00DB63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.</w:t>
            </w:r>
          </w:p>
        </w:tc>
      </w:tr>
      <w:tr w:rsidR="00B61B86" w:rsidRPr="00B61B86" w:rsidTr="00B61B86"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86" w:rsidRPr="00B61B86" w:rsidRDefault="00B61B86" w:rsidP="00B61B8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1B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4. Fundamentarea economico-financiară</w:t>
            </w:r>
          </w:p>
        </w:tc>
      </w:tr>
      <w:tr w:rsidR="00B61B86" w:rsidRPr="00637EDB" w:rsidTr="00B61B86"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86" w:rsidRPr="00B61B86" w:rsidRDefault="00B61B86" w:rsidP="00B61B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Proiectul de decizie nu necesită alocarea sau modificarea bugetului.</w:t>
            </w:r>
          </w:p>
        </w:tc>
      </w:tr>
      <w:tr w:rsidR="00B61B86" w:rsidRPr="00637EDB" w:rsidTr="00B61B86"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86" w:rsidRPr="00B61B86" w:rsidRDefault="00B61B86" w:rsidP="00B61B8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1B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5. Modul de încorporare a actului în cadrul normativ în vigoare.</w:t>
            </w:r>
          </w:p>
        </w:tc>
      </w:tr>
      <w:tr w:rsidR="00B61B86" w:rsidRPr="00637EDB" w:rsidTr="00B61B86"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86" w:rsidRPr="00B61B86" w:rsidRDefault="00B61B86" w:rsidP="00B61B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Prezentul proiect nu necesită modificarea sau elaborarea unor acte normative noi.</w:t>
            </w:r>
          </w:p>
        </w:tc>
      </w:tr>
    </w:tbl>
    <w:p w:rsidR="00B61B86" w:rsidRDefault="00B61B86">
      <w:pPr>
        <w:rPr>
          <w:lang w:val="it-IT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77"/>
        <w:gridCol w:w="4678"/>
      </w:tblGrid>
      <w:tr w:rsidR="00B61B86" w:rsidRPr="00B61B86" w:rsidTr="00E602E1">
        <w:tc>
          <w:tcPr>
            <w:tcW w:w="4785" w:type="dxa"/>
          </w:tcPr>
          <w:p w:rsidR="00B61B86" w:rsidRPr="00B61B86" w:rsidRDefault="00B61B86" w:rsidP="00B61B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Întocmit</w:t>
            </w:r>
          </w:p>
        </w:tc>
        <w:tc>
          <w:tcPr>
            <w:tcW w:w="4786" w:type="dxa"/>
          </w:tcPr>
          <w:p w:rsidR="00B61B86" w:rsidRPr="00B61B86" w:rsidRDefault="00B61B86" w:rsidP="00B61B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Susțin</w:t>
            </w:r>
          </w:p>
        </w:tc>
      </w:tr>
      <w:tr w:rsidR="00B61B86" w:rsidRPr="00B61B86" w:rsidTr="00E602E1">
        <w:trPr>
          <w:trHeight w:val="509"/>
        </w:trPr>
        <w:tc>
          <w:tcPr>
            <w:tcW w:w="4785" w:type="dxa"/>
          </w:tcPr>
          <w:p w:rsidR="00B61B86" w:rsidRPr="00B61B86" w:rsidRDefault="007E5990" w:rsidP="00B61B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Șef-</w:t>
            </w:r>
            <w:r w:rsidR="00B61B86" w:rsidRPr="00B61B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adjunct DASPF</w:t>
            </w:r>
          </w:p>
        </w:tc>
        <w:tc>
          <w:tcPr>
            <w:tcW w:w="4786" w:type="dxa"/>
          </w:tcPr>
          <w:p w:rsidR="00B61B86" w:rsidRPr="00B61B86" w:rsidRDefault="00B61B86" w:rsidP="00B61B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1B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Vicepreședintele raionului</w:t>
            </w:r>
          </w:p>
        </w:tc>
      </w:tr>
      <w:tr w:rsidR="00B61B86" w:rsidRPr="00B61B86" w:rsidTr="00E602E1">
        <w:tc>
          <w:tcPr>
            <w:tcW w:w="4785" w:type="dxa"/>
          </w:tcPr>
          <w:p w:rsidR="00B61B86" w:rsidRPr="00B61B86" w:rsidRDefault="00B61B86" w:rsidP="00B61B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Maria  HUZUN</w:t>
            </w:r>
          </w:p>
        </w:tc>
        <w:tc>
          <w:tcPr>
            <w:tcW w:w="4786" w:type="dxa"/>
          </w:tcPr>
          <w:p w:rsidR="00B61B86" w:rsidRPr="00B61B86" w:rsidRDefault="00B61B86" w:rsidP="00B61B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Tudor TUTUNARU</w:t>
            </w:r>
          </w:p>
        </w:tc>
      </w:tr>
      <w:tr w:rsidR="00B61B86" w:rsidRPr="00B61B86" w:rsidTr="00E602E1">
        <w:tc>
          <w:tcPr>
            <w:tcW w:w="4785" w:type="dxa"/>
          </w:tcPr>
          <w:p w:rsidR="00B61B86" w:rsidRPr="00B61B86" w:rsidRDefault="00B61B86" w:rsidP="00B61B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______________________</w:t>
            </w:r>
          </w:p>
        </w:tc>
        <w:tc>
          <w:tcPr>
            <w:tcW w:w="4786" w:type="dxa"/>
          </w:tcPr>
          <w:p w:rsidR="00B61B86" w:rsidRPr="00B61B86" w:rsidRDefault="00B61B86" w:rsidP="00B61B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61B8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______________________</w:t>
            </w:r>
          </w:p>
        </w:tc>
      </w:tr>
    </w:tbl>
    <w:p w:rsidR="00B61B86" w:rsidRDefault="00B61B86">
      <w:pPr>
        <w:rPr>
          <w:lang w:val="it-IT"/>
        </w:rPr>
      </w:pPr>
    </w:p>
    <w:p w:rsidR="00740B90" w:rsidRDefault="00740B90">
      <w:pPr>
        <w:rPr>
          <w:lang w:val="it-IT"/>
        </w:rPr>
      </w:pPr>
    </w:p>
    <w:p w:rsidR="00740B90" w:rsidRDefault="00740B90">
      <w:pPr>
        <w:rPr>
          <w:lang w:val="it-IT"/>
        </w:rPr>
      </w:pPr>
    </w:p>
    <w:p w:rsidR="00740B90" w:rsidRDefault="00740B90">
      <w:pPr>
        <w:rPr>
          <w:lang w:val="it-IT"/>
        </w:rPr>
      </w:pPr>
    </w:p>
    <w:tbl>
      <w:tblPr>
        <w:tblpPr w:leftFromText="180" w:rightFromText="180" w:vertAnchor="page" w:horzAnchor="margin" w:tblpY="301"/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8"/>
        <w:gridCol w:w="1641"/>
        <w:gridCol w:w="3969"/>
      </w:tblGrid>
      <w:tr w:rsidR="00DB630E" w:rsidRPr="00A835CB" w:rsidTr="00E602E1">
        <w:trPr>
          <w:trHeight w:val="1617"/>
        </w:trPr>
        <w:tc>
          <w:tcPr>
            <w:tcW w:w="375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B630E" w:rsidRDefault="00DB630E" w:rsidP="00E602E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</w:p>
          <w:p w:rsidR="00DB630E" w:rsidRPr="00A835CB" w:rsidRDefault="00DB630E" w:rsidP="00E602E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>REPUBLICA  MOLDOVA</w:t>
            </w:r>
          </w:p>
          <w:p w:rsidR="00DB630E" w:rsidRPr="00A835CB" w:rsidRDefault="00DB630E" w:rsidP="00E602E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</w:pPr>
          </w:p>
          <w:p w:rsidR="00DB630E" w:rsidRPr="00A835CB" w:rsidRDefault="00DB630E" w:rsidP="00E602E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>CONSILIUL  RAIONAL</w:t>
            </w:r>
          </w:p>
          <w:p w:rsidR="00DB630E" w:rsidRPr="00A835CB" w:rsidRDefault="00DB630E" w:rsidP="00E6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</w:t>
            </w: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ÎNGEREI</w:t>
            </w:r>
          </w:p>
          <w:p w:rsidR="00DB630E" w:rsidRPr="00A835CB" w:rsidRDefault="00DB630E" w:rsidP="00E6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B630E" w:rsidRPr="00A835CB" w:rsidRDefault="00DB630E" w:rsidP="00E60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B630E" w:rsidRPr="00A835CB" w:rsidRDefault="00DB630E" w:rsidP="00E6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A94801" wp14:editId="3E3BF793">
                  <wp:extent cx="647700" cy="8286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630E" w:rsidRPr="00A835CB" w:rsidRDefault="00DB630E" w:rsidP="00E60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B630E" w:rsidRDefault="00DB630E" w:rsidP="00E602E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DB630E" w:rsidRPr="00A835CB" w:rsidRDefault="00DB630E" w:rsidP="00E602E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РЕСПУБЛИКА МОЛДОВА</w:t>
            </w:r>
          </w:p>
          <w:p w:rsidR="00DB630E" w:rsidRPr="00A835CB" w:rsidRDefault="00DB630E" w:rsidP="00E6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</w:pPr>
          </w:p>
          <w:p w:rsidR="00DB630E" w:rsidRPr="00A835CB" w:rsidRDefault="00DB630E" w:rsidP="00E6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СЫНДЖЕРЕЙСКИЙ</w:t>
            </w:r>
          </w:p>
          <w:p w:rsidR="00DB630E" w:rsidRPr="00A835CB" w:rsidRDefault="00DB630E" w:rsidP="00E6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РАЙОННЫЙ СОВЕТ</w:t>
            </w:r>
          </w:p>
          <w:p w:rsidR="00DB630E" w:rsidRPr="00A835CB" w:rsidRDefault="00DB630E" w:rsidP="00E6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DB630E" w:rsidRPr="00A835CB" w:rsidRDefault="00DB630E" w:rsidP="00E60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</w:tr>
    </w:tbl>
    <w:p w:rsidR="00DB630E" w:rsidRDefault="00EF282E" w:rsidP="00EF282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EXTRAS</w:t>
      </w:r>
    </w:p>
    <w:p w:rsidR="00DB630E" w:rsidRPr="00A835CB" w:rsidRDefault="00DB630E" w:rsidP="00DB6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]</w:t>
      </w:r>
      <w:r w:rsidRPr="00A835C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DECIZIE </w:t>
      </w:r>
      <w:proofErr w:type="spellStart"/>
      <w:r w:rsidRPr="00A835C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Nr</w:t>
      </w:r>
      <w:proofErr w:type="spellEnd"/>
      <w:r w:rsidRPr="00A835C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2/4</w:t>
      </w:r>
    </w:p>
    <w:p w:rsidR="00DB630E" w:rsidRPr="00A835CB" w:rsidRDefault="00DB630E" w:rsidP="00DB6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A835C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din</w:t>
      </w:r>
      <w:proofErr w:type="gramEnd"/>
      <w:r w:rsidRPr="00A835C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14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2021</w:t>
      </w:r>
    </w:p>
    <w:p w:rsidR="00DB630E" w:rsidRDefault="00DB630E" w:rsidP="00DB6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A835C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or</w:t>
      </w:r>
      <w:proofErr w:type="gramEnd"/>
      <w:r w:rsidRPr="00A835C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. </w:t>
      </w:r>
      <w:proofErr w:type="spellStart"/>
      <w:r w:rsidRPr="00A835C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Sîngerei</w:t>
      </w:r>
      <w:proofErr w:type="spellEnd"/>
    </w:p>
    <w:p w:rsidR="00DB630E" w:rsidRDefault="00DB630E" w:rsidP="00DB630E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DB630E" w:rsidRPr="00B61B86" w:rsidRDefault="00DB630E" w:rsidP="00DB630E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B61B8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Privind autorizarea casării bunurilor uzate raportate la mijloacele fixe, aflate în gestiunea  Direcției Asistență Socială și Protecție a Familiei</w:t>
      </w:r>
    </w:p>
    <w:p w:rsidR="00740B90" w:rsidRDefault="00740B90">
      <w:pPr>
        <w:rPr>
          <w:lang w:val="ro-RO"/>
        </w:rPr>
      </w:pPr>
    </w:p>
    <w:p w:rsidR="00DB630E" w:rsidRPr="00DB630E" w:rsidRDefault="00DB630E" w:rsidP="00DB630E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Avînd în vedere n</w:t>
      </w:r>
      <w:r w:rsidRPr="00DB630E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 xml:space="preserve">ota </w:t>
      </w:r>
      <w:r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 xml:space="preserve">informativă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P</w:t>
      </w:r>
      <w:r w:rsidRPr="00DB630E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rivind autorizarea casării bunurilor uzate raportate la mijloace fixe  aflate în gestiunea DASPF</w:t>
      </w:r>
      <w:r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”</w:t>
      </w:r>
      <w:r w:rsidRPr="00DB630E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;</w:t>
      </w:r>
    </w:p>
    <w:p w:rsidR="00DB630E" w:rsidRDefault="00DB630E" w:rsidP="00DB630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DB630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În temeiul art. 43 alin. (1), lit. (c) al  Legii nr. 436/2006, privind administraţia publică locală, </w:t>
      </w:r>
      <w:r w:rsidRPr="00DB630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Legii cu privire la actele normative nr.100/2017, </w:t>
      </w:r>
      <w:r w:rsidRPr="00DB630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Regulamentului privind casarea bunurilor uzate raportate la mi</w:t>
      </w:r>
      <w:r w:rsidR="007E599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jloace fixe, aprobat prin Hotărâ</w:t>
      </w:r>
      <w:bookmarkStart w:id="0" w:name="_GoBack"/>
      <w:bookmarkEnd w:id="0"/>
      <w:r w:rsidRPr="00DB630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rea Guvernului RM nr. 500 din 12.05.1998, </w:t>
      </w:r>
    </w:p>
    <w:p w:rsidR="00DB630E" w:rsidRPr="00DB630E" w:rsidRDefault="00DB630E" w:rsidP="00DB630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Consiliul raional, </w:t>
      </w:r>
    </w:p>
    <w:p w:rsidR="00DB630E" w:rsidRPr="00DB630E" w:rsidRDefault="00DB630E" w:rsidP="00DB63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val="ro-RO" w:eastAsia="ru-RU"/>
        </w:rPr>
      </w:pPr>
      <w:r w:rsidRPr="00DB630E">
        <w:rPr>
          <w:rFonts w:ascii="Times New Roman" w:eastAsia="Times New Roman" w:hAnsi="Times New Roman" w:cs="Times New Roman"/>
          <w:b/>
          <w:lang w:val="ro-RO" w:eastAsia="ru-RU"/>
        </w:rPr>
        <w:t>D E C I D E:</w:t>
      </w:r>
    </w:p>
    <w:p w:rsidR="00DB630E" w:rsidRPr="00DB630E" w:rsidRDefault="00DB630E" w:rsidP="00DB630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DB630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1.</w:t>
      </w:r>
      <w:r w:rsidRPr="00DB630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Se  autorizeaza casarea bunurilor uzate, raportate la mijloacele  fixe  din gestiunea   DASPF, conform registrului actelor mijloacelor fixe ce urmează  a fi casate (Anexa nr. 1).    </w:t>
      </w:r>
    </w:p>
    <w:p w:rsidR="00DB630E" w:rsidRPr="00DB630E" w:rsidRDefault="00DB630E" w:rsidP="00DB630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DB630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2.</w:t>
      </w:r>
      <w:r w:rsidRPr="00DB630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Bunurile casate vor fi predate (</w:t>
      </w:r>
      <w:r w:rsidRPr="00DB630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după caz)</w:t>
      </w:r>
      <w:r w:rsidRPr="00DB630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spre utilizare agentului economic autorizat pentru a efectua această activitate.                                            </w:t>
      </w:r>
    </w:p>
    <w:p w:rsidR="00DB630E" w:rsidRPr="00DB630E" w:rsidRDefault="00DB630E" w:rsidP="00DB630E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DB630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  <w:t>3.</w:t>
      </w:r>
      <w:r w:rsidRPr="00DB630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Responsabil pentru realizarea deciziei în cauză se desemnează Direcția Asistență Socială și Protecție a Familiei (dna M. Bajura).</w:t>
      </w:r>
    </w:p>
    <w:p w:rsidR="00DB630E" w:rsidRPr="00DB630E" w:rsidRDefault="00DB630E" w:rsidP="00DB630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ru-RU"/>
        </w:rPr>
      </w:pPr>
      <w:r w:rsidRPr="00DB630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4.</w:t>
      </w:r>
      <w:r w:rsidRPr="00DB630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Controlul realizării prezentei </w:t>
      </w:r>
      <w:r w:rsidRPr="00DB630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decizii, se pune în sarcina Comisiei consultative pentru Economie, Finanţe şi Buget (dl. I.Cebotari). </w:t>
      </w:r>
      <w:r w:rsidRPr="00DB630E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ru-RU"/>
        </w:rPr>
        <w:t xml:space="preserve">   </w:t>
      </w:r>
    </w:p>
    <w:p w:rsidR="00DB630E" w:rsidRPr="00DB630E" w:rsidRDefault="00DB630E" w:rsidP="00DB630E">
      <w:pPr>
        <w:spacing w:after="0" w:line="240" w:lineRule="auto"/>
        <w:rPr>
          <w:rFonts w:ascii="Times New Roman" w:eastAsia="Times New Roman" w:hAnsi="Times New Roman" w:cs="Times New Roman"/>
          <w:b/>
          <w:lang w:val="it-IT" w:eastAsia="ru-RU"/>
        </w:rPr>
      </w:pPr>
    </w:p>
    <w:p w:rsidR="00DB630E" w:rsidRPr="00D408BC" w:rsidRDefault="00DB630E" w:rsidP="00DB630E">
      <w:pPr>
        <w:tabs>
          <w:tab w:val="left" w:pos="709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proofErr w:type="spellStart"/>
      <w:r w:rsidRPr="00D408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Preşedintele</w:t>
      </w:r>
      <w:proofErr w:type="spellEnd"/>
      <w:r w:rsidRPr="00D408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D408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şedinţei</w:t>
      </w:r>
      <w:proofErr w:type="spellEnd"/>
      <w:r w:rsidRPr="00D408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Pr="00D408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Pr="00D408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Pr="00D408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LUCA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Vasile</w:t>
      </w:r>
      <w:proofErr w:type="spellEnd"/>
    </w:p>
    <w:p w:rsidR="00DB630E" w:rsidRPr="00D408BC" w:rsidRDefault="00DB630E" w:rsidP="00DB630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</w:p>
    <w:p w:rsidR="00DB630E" w:rsidRPr="00D408BC" w:rsidRDefault="00DB630E" w:rsidP="00DB630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D408BC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     </w:t>
      </w:r>
      <w:r w:rsidRPr="00D408BC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</w:r>
      <w:r w:rsidRPr="00D408BC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  <w:t xml:space="preserve"> CONTRASEMNAT: </w:t>
      </w:r>
    </w:p>
    <w:p w:rsidR="00DB630E" w:rsidRPr="00D408BC" w:rsidRDefault="00DB630E" w:rsidP="00DB63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D408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</w:t>
      </w:r>
      <w:r w:rsidRPr="00D408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</w:t>
      </w:r>
      <w:proofErr w:type="spellStart"/>
      <w:r w:rsidRPr="00D408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Secretar</w:t>
      </w:r>
      <w:proofErr w:type="spellEnd"/>
      <w:r w:rsidRPr="00D408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al</w:t>
      </w:r>
    </w:p>
    <w:p w:rsidR="00DB630E" w:rsidRPr="00D408BC" w:rsidRDefault="00DB630E" w:rsidP="00DB630E">
      <w:pPr>
        <w:tabs>
          <w:tab w:val="left" w:pos="2835"/>
          <w:tab w:val="left" w:pos="2970"/>
          <w:tab w:val="left" w:pos="31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D408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           </w:t>
      </w:r>
      <w:proofErr w:type="spellStart"/>
      <w:r w:rsidRPr="00D408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Consiliului</w:t>
      </w:r>
      <w:proofErr w:type="spellEnd"/>
      <w:r w:rsidRPr="00D408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D408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raional</w:t>
      </w:r>
      <w:proofErr w:type="spellEnd"/>
      <w:r w:rsidRPr="00D408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Pr="00D408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   TABARCEA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Vitalie</w:t>
      </w:r>
      <w:proofErr w:type="spellEnd"/>
    </w:p>
    <w:p w:rsidR="00DB630E" w:rsidRDefault="00DB630E">
      <w:pPr>
        <w:rPr>
          <w:lang w:val="en-US"/>
        </w:rPr>
      </w:pPr>
    </w:p>
    <w:p w:rsidR="00EF282E" w:rsidRPr="00E30842" w:rsidRDefault="00EF282E" w:rsidP="00EF282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E30842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Conform </w:t>
      </w:r>
      <w:proofErr w:type="spellStart"/>
      <w:r w:rsidRPr="00E30842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originalului</w:t>
      </w:r>
      <w:proofErr w:type="spellEnd"/>
      <w:r w:rsidRPr="00E30842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:</w:t>
      </w:r>
    </w:p>
    <w:p w:rsidR="00EF282E" w:rsidRPr="00E30842" w:rsidRDefault="00EF282E" w:rsidP="00EF28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3084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Pr="00E3084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Pr="00E3084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E3084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Secretar</w:t>
      </w:r>
      <w:proofErr w:type="spellEnd"/>
      <w:r w:rsidRPr="00E3084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al</w:t>
      </w:r>
    </w:p>
    <w:p w:rsidR="00EF282E" w:rsidRPr="00E30842" w:rsidRDefault="00EF282E" w:rsidP="00EF282E">
      <w:pPr>
        <w:tabs>
          <w:tab w:val="left" w:pos="2835"/>
          <w:tab w:val="left" w:pos="2970"/>
          <w:tab w:val="left" w:pos="3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3084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</w:t>
      </w:r>
      <w:r w:rsidRPr="00E3084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</w:t>
      </w:r>
      <w:proofErr w:type="spellStart"/>
      <w:r w:rsidRPr="00E3084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Consili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ului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raiona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                  </w:t>
      </w:r>
      <w:r w:rsidRPr="00E3084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    TABARCEA </w:t>
      </w:r>
      <w:proofErr w:type="spellStart"/>
      <w:r w:rsidRPr="00E3084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Vitalie</w:t>
      </w:r>
      <w:proofErr w:type="spellEnd"/>
    </w:p>
    <w:p w:rsidR="00EF282E" w:rsidRPr="00E30842" w:rsidRDefault="00EF282E" w:rsidP="00EF2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F282E" w:rsidRDefault="00EF282E" w:rsidP="00EF282E">
      <w:pPr>
        <w:tabs>
          <w:tab w:val="left" w:pos="1100"/>
        </w:tabs>
        <w:spacing w:after="0" w:line="240" w:lineRule="auto"/>
        <w:rPr>
          <w:lang w:val="ro-RO"/>
        </w:rPr>
      </w:pPr>
    </w:p>
    <w:p w:rsidR="00DB630E" w:rsidRPr="00EF282E" w:rsidRDefault="00DB630E">
      <w:pPr>
        <w:rPr>
          <w:lang w:val="ro-RO"/>
        </w:rPr>
      </w:pPr>
    </w:p>
    <w:p w:rsidR="00DB630E" w:rsidRDefault="00DB630E">
      <w:pPr>
        <w:rPr>
          <w:lang w:val="en-US"/>
        </w:rPr>
      </w:pPr>
    </w:p>
    <w:p w:rsidR="00EF282E" w:rsidRDefault="00EF282E">
      <w:pPr>
        <w:rPr>
          <w:lang w:val="en-US"/>
        </w:rPr>
      </w:pPr>
    </w:p>
    <w:p w:rsidR="00DB630E" w:rsidRPr="00DB630E" w:rsidRDefault="00DB630E" w:rsidP="00DB630E">
      <w:pPr>
        <w:spacing w:after="0" w:line="240" w:lineRule="auto"/>
        <w:ind w:left="6465"/>
        <w:jc w:val="right"/>
        <w:rPr>
          <w:rFonts w:ascii="Times New Roman" w:eastAsia="Calibri" w:hAnsi="Times New Roman" w:cs="Times New Roman"/>
          <w:b/>
          <w:lang w:val="ro-RO"/>
        </w:rPr>
      </w:pPr>
      <w:r w:rsidRPr="00DB630E">
        <w:rPr>
          <w:rFonts w:ascii="Times New Roman" w:eastAsia="Calibri" w:hAnsi="Times New Roman" w:cs="Times New Roman"/>
          <w:b/>
          <w:lang w:val="ro-RO"/>
        </w:rPr>
        <w:lastRenderedPageBreak/>
        <w:t xml:space="preserve">   Anexa. nr.1</w:t>
      </w:r>
    </w:p>
    <w:p w:rsidR="00DB630E" w:rsidRPr="00DB630E" w:rsidRDefault="00DB630E" w:rsidP="00DB630E">
      <w:pPr>
        <w:spacing w:after="0" w:line="240" w:lineRule="auto"/>
        <w:ind w:left="6465"/>
        <w:jc w:val="right"/>
        <w:rPr>
          <w:rFonts w:ascii="Times New Roman" w:eastAsia="Calibri" w:hAnsi="Times New Roman" w:cs="Times New Roman"/>
          <w:b/>
          <w:lang w:val="ro-RO"/>
        </w:rPr>
      </w:pPr>
      <w:r w:rsidRPr="00DB630E">
        <w:rPr>
          <w:rFonts w:ascii="Times New Roman" w:eastAsia="Calibri" w:hAnsi="Times New Roman" w:cs="Times New Roman"/>
          <w:b/>
          <w:lang w:val="ro-RO"/>
        </w:rPr>
        <w:t>la decizia nr.2/4</w:t>
      </w:r>
    </w:p>
    <w:p w:rsidR="00DB630E" w:rsidRPr="00DB630E" w:rsidRDefault="00DB630E" w:rsidP="00DB630E">
      <w:pPr>
        <w:spacing w:after="0" w:line="240" w:lineRule="auto"/>
        <w:ind w:left="6465"/>
        <w:jc w:val="right"/>
        <w:rPr>
          <w:rFonts w:ascii="Times New Roman" w:eastAsia="Calibri" w:hAnsi="Times New Roman" w:cs="Times New Roman"/>
          <w:b/>
          <w:lang w:val="ro-RO"/>
        </w:rPr>
      </w:pPr>
      <w:r w:rsidRPr="00DB630E">
        <w:rPr>
          <w:rFonts w:ascii="Times New Roman" w:eastAsia="Calibri" w:hAnsi="Times New Roman" w:cs="Times New Roman"/>
          <w:b/>
          <w:lang w:val="ro-RO"/>
        </w:rPr>
        <w:t>din 14.05.2021</w:t>
      </w:r>
    </w:p>
    <w:p w:rsidR="00DB630E" w:rsidRPr="00DB630E" w:rsidRDefault="00DB630E" w:rsidP="00DB630E">
      <w:pPr>
        <w:spacing w:after="0" w:line="240" w:lineRule="auto"/>
        <w:ind w:left="6465"/>
        <w:jc w:val="right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:rsidR="00DB630E" w:rsidRPr="00DB630E" w:rsidRDefault="00DB630E" w:rsidP="00DB630E">
      <w:pPr>
        <w:spacing w:after="0" w:line="240" w:lineRule="auto"/>
        <w:ind w:left="6465"/>
        <w:jc w:val="right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DB630E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 „Anexa nr.1</w:t>
      </w:r>
    </w:p>
    <w:p w:rsidR="00DB630E" w:rsidRPr="00DB630E" w:rsidRDefault="00DB630E" w:rsidP="00DB630E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ro-RO"/>
        </w:rPr>
      </w:pPr>
      <w:smartTag w:uri="urn:schemas-microsoft-com:office:smarttags" w:element="PersonName">
        <w:smartTagPr>
          <w:attr w:name="ProductID" w:val="la Regulamentul"/>
        </w:smartTagPr>
        <w:r w:rsidRPr="00DB630E">
          <w:rPr>
            <w:rFonts w:ascii="Times New Roman" w:eastAsia="Calibri" w:hAnsi="Times New Roman" w:cs="Times New Roman"/>
            <w:sz w:val="20"/>
            <w:szCs w:val="20"/>
            <w:lang w:val="ro-RO"/>
          </w:rPr>
          <w:t>la Regulamentul</w:t>
        </w:r>
      </w:smartTag>
      <w:r w:rsidRPr="00DB630E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 privind casarea </w:t>
      </w:r>
    </w:p>
    <w:p w:rsidR="00DB630E" w:rsidRPr="00DB630E" w:rsidRDefault="00DB630E" w:rsidP="00DB630E">
      <w:pPr>
        <w:spacing w:after="0" w:line="240" w:lineRule="auto"/>
        <w:ind w:left="6840"/>
        <w:jc w:val="right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DB630E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bunurilor uzate, raportate la </w:t>
      </w:r>
    </w:p>
    <w:p w:rsidR="00DB630E" w:rsidRPr="00DB630E" w:rsidRDefault="00DB630E" w:rsidP="00DB630E">
      <w:pPr>
        <w:spacing w:after="0" w:line="240" w:lineRule="auto"/>
        <w:ind w:left="7739"/>
        <w:jc w:val="right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DB630E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mijloacele fixe </w:t>
      </w:r>
    </w:p>
    <w:p w:rsidR="00DB630E" w:rsidRPr="00DB630E" w:rsidRDefault="00DB630E" w:rsidP="00DB63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DB630E">
        <w:rPr>
          <w:rFonts w:ascii="Times New Roman" w:eastAsia="Calibri" w:hAnsi="Times New Roman" w:cs="Times New Roman"/>
          <w:sz w:val="20"/>
          <w:szCs w:val="20"/>
          <w:lang w:val="ro-RO"/>
        </w:rPr>
        <w:t> </w:t>
      </w:r>
    </w:p>
    <w:p w:rsidR="00DB630E" w:rsidRPr="00DB630E" w:rsidRDefault="00DB630E" w:rsidP="00DB63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DB630E">
        <w:rPr>
          <w:rFonts w:ascii="Times New Roman" w:eastAsia="Calibri" w:hAnsi="Times New Roman" w:cs="Times New Roman"/>
          <w:sz w:val="20"/>
          <w:szCs w:val="20"/>
          <w:lang w:val="ro-RO"/>
        </w:rPr>
        <w:t> </w:t>
      </w:r>
    </w:p>
    <w:p w:rsidR="00DB630E" w:rsidRPr="00DB630E" w:rsidRDefault="00DB630E" w:rsidP="00DB63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DB630E"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  <w:t>Autorizaţia de casare nr.</w:t>
      </w:r>
      <w:r w:rsidRPr="00DB630E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________ </w:t>
      </w:r>
      <w:r w:rsidRPr="00DB630E"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  <w:t>din</w:t>
      </w:r>
      <w:r w:rsidRPr="00DB630E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 ___________ </w:t>
      </w:r>
      <w:r w:rsidRPr="00DB630E"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  <w:t>2021</w:t>
      </w:r>
      <w:r w:rsidRPr="00DB630E">
        <w:rPr>
          <w:rFonts w:ascii="Times New Roman" w:eastAsia="Calibri" w:hAnsi="Times New Roman" w:cs="Times New Roman"/>
          <w:sz w:val="20"/>
          <w:szCs w:val="20"/>
          <w:lang w:val="ro-RO"/>
        </w:rPr>
        <w:t>_</w:t>
      </w:r>
    </w:p>
    <w:p w:rsidR="00DB630E" w:rsidRPr="00DB630E" w:rsidRDefault="00DB630E" w:rsidP="00DB63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DB630E">
        <w:rPr>
          <w:rFonts w:ascii="Times New Roman" w:eastAsia="Calibri" w:hAnsi="Times New Roman" w:cs="Times New Roman"/>
          <w:sz w:val="20"/>
          <w:szCs w:val="20"/>
          <w:lang w:val="ro-RO"/>
        </w:rPr>
        <w:t> </w:t>
      </w:r>
    </w:p>
    <w:p w:rsidR="00DB630E" w:rsidRPr="00DB630E" w:rsidRDefault="00DB630E" w:rsidP="00DB63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DB630E">
        <w:rPr>
          <w:rFonts w:ascii="Times New Roman" w:eastAsia="Calibri" w:hAnsi="Times New Roman" w:cs="Times New Roman"/>
          <w:sz w:val="20"/>
          <w:szCs w:val="20"/>
          <w:lang w:val="ro-RO"/>
        </w:rPr>
        <w:t>___________________________________________________</w:t>
      </w:r>
    </w:p>
    <w:p w:rsidR="00DB630E" w:rsidRPr="00DB630E" w:rsidRDefault="00DB630E" w:rsidP="00DB630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DB630E">
        <w:rPr>
          <w:rFonts w:ascii="Times New Roman" w:eastAsia="Calibri" w:hAnsi="Times New Roman" w:cs="Times New Roman"/>
          <w:sz w:val="20"/>
          <w:szCs w:val="20"/>
          <w:vertAlign w:val="subscript"/>
          <w:lang w:val="ro-RO"/>
        </w:rPr>
        <w:t xml:space="preserve">                                                           (semnătura persoanei responsabile, ştampila autorităţii)</w:t>
      </w:r>
    </w:p>
    <w:p w:rsidR="00DB630E" w:rsidRPr="00DB630E" w:rsidRDefault="00DB630E" w:rsidP="00DB63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DB630E">
        <w:rPr>
          <w:rFonts w:ascii="Times New Roman" w:eastAsia="Calibri" w:hAnsi="Times New Roman" w:cs="Times New Roman"/>
          <w:sz w:val="20"/>
          <w:szCs w:val="20"/>
          <w:lang w:val="ro-RO"/>
        </w:rPr>
        <w:t> </w:t>
      </w:r>
    </w:p>
    <w:p w:rsidR="00DB630E" w:rsidRPr="00DB630E" w:rsidRDefault="00DB630E" w:rsidP="00DB630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</w:pPr>
      <w:r w:rsidRPr="00DB630E"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  <w:t xml:space="preserve">Registrul </w:t>
      </w:r>
    </w:p>
    <w:p w:rsidR="00DB630E" w:rsidRPr="00DB630E" w:rsidRDefault="00DB630E" w:rsidP="00DB630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</w:pPr>
      <w:r w:rsidRPr="00DB630E"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  <w:t xml:space="preserve">actelor mijloacelor fixe ce urmează a fi casate </w:t>
      </w:r>
    </w:p>
    <w:p w:rsidR="00DB630E" w:rsidRPr="00DB630E" w:rsidRDefault="00DB630E" w:rsidP="00DB630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DB630E">
        <w:rPr>
          <w:rFonts w:ascii="Times New Roman" w:eastAsia="Calibri" w:hAnsi="Times New Roman" w:cs="Times New Roman"/>
          <w:sz w:val="20"/>
          <w:szCs w:val="20"/>
          <w:lang w:val="ro-RO"/>
        </w:rPr>
        <w:t>_</w:t>
      </w:r>
      <w:r w:rsidRPr="00DB630E">
        <w:rPr>
          <w:rFonts w:ascii="Times New Roman" w:eastAsia="Calibri" w:hAnsi="Times New Roman" w:cs="Times New Roman"/>
          <w:b/>
          <w:sz w:val="20"/>
          <w:szCs w:val="20"/>
          <w:u w:val="single"/>
          <w:lang w:val="ro-RO"/>
        </w:rPr>
        <w:t>Direcția Asistență Socială și protecția familiei raionul Sîngerei</w:t>
      </w:r>
      <w:r w:rsidRPr="00DB630E">
        <w:rPr>
          <w:rFonts w:ascii="Times New Roman" w:eastAsia="Calibri" w:hAnsi="Times New Roman" w:cs="Times New Roman"/>
          <w:sz w:val="20"/>
          <w:szCs w:val="20"/>
          <w:u w:val="single"/>
          <w:lang w:val="ro-RO"/>
        </w:rPr>
        <w:t>____</w:t>
      </w:r>
      <w:r w:rsidRPr="00DB630E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 </w:t>
      </w:r>
    </w:p>
    <w:p w:rsidR="00DB630E" w:rsidRPr="00DB630E" w:rsidRDefault="00DB630E" w:rsidP="00DB630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vertAlign w:val="subscript"/>
          <w:lang w:val="ro-RO"/>
        </w:rPr>
      </w:pPr>
      <w:r w:rsidRPr="00DB630E">
        <w:rPr>
          <w:rFonts w:ascii="Times New Roman" w:eastAsia="Calibri" w:hAnsi="Times New Roman" w:cs="Times New Roman"/>
          <w:sz w:val="20"/>
          <w:szCs w:val="20"/>
          <w:vertAlign w:val="subscript"/>
          <w:lang w:val="ro-RO"/>
        </w:rPr>
        <w:t>(denumirea întreprinderii)</w:t>
      </w:r>
    </w:p>
    <w:p w:rsidR="00DB630E" w:rsidRPr="00DB630E" w:rsidRDefault="00DB630E" w:rsidP="00DB630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tbl>
      <w:tblPr>
        <w:tblW w:w="1015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80"/>
        <w:gridCol w:w="1324"/>
        <w:gridCol w:w="909"/>
        <w:gridCol w:w="909"/>
        <w:gridCol w:w="854"/>
        <w:gridCol w:w="982"/>
        <w:gridCol w:w="664"/>
        <w:gridCol w:w="1097"/>
        <w:gridCol w:w="916"/>
        <w:gridCol w:w="938"/>
        <w:gridCol w:w="727"/>
        <w:gridCol w:w="450"/>
      </w:tblGrid>
      <w:tr w:rsidR="00DB630E" w:rsidRPr="00DB630E" w:rsidTr="00E602E1">
        <w:trPr>
          <w:jc w:val="center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  <w:t>Nr.</w:t>
            </w:r>
          </w:p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  <w:t>d/o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  <w:t>Denumirea</w:t>
            </w:r>
          </w:p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  <w:t xml:space="preserve"> şi marca mijlocului </w:t>
            </w:r>
            <w:r w:rsidRPr="00DB630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  <w:br/>
              <w:t>fix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  <w:t xml:space="preserve">Numărul de inventar sau de </w:t>
            </w:r>
            <w:r w:rsidRPr="00DB630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  <w:br/>
              <w:t>stat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  <w:t>Data punerii</w:t>
            </w:r>
          </w:p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  <w:t xml:space="preserve"> în funcţiune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  <w:t xml:space="preserve">Costul </w:t>
            </w:r>
          </w:p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  <w:t>de intrare/</w:t>
            </w:r>
          </w:p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  <w:t xml:space="preserve">valoarea iniţială, </w:t>
            </w:r>
          </w:p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  <w:t>lei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  <w:t>Valoa-</w:t>
            </w:r>
          </w:p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  <w:t>rea reziduală/</w:t>
            </w:r>
          </w:p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  <w:t xml:space="preserve">rămasă probabilă, </w:t>
            </w:r>
            <w:r w:rsidRPr="00DB630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  <w:br/>
              <w:t>lei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  <w:t xml:space="preserve">Codul </w:t>
            </w:r>
          </w:p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  <w:t xml:space="preserve">de </w:t>
            </w:r>
            <w:r w:rsidRPr="00DB630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  <w:br/>
              <w:t>clasifi-</w:t>
            </w:r>
          </w:p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  <w:t>care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  <w:t>Durata</w:t>
            </w:r>
          </w:p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  <w:t xml:space="preserve"> de utilizare/</w:t>
            </w:r>
          </w:p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  <w:t xml:space="preserve">funcţionare utilă  </w:t>
            </w:r>
          </w:p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  <w:t>(norma</w:t>
            </w:r>
          </w:p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  <w:t xml:space="preserve"> anualăde amortizare/ uzură), </w:t>
            </w:r>
            <w:r w:rsidRPr="00DB630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  <w:br/>
              <w:t>ani (%/an)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  <w:t>Amorti-zarea/</w:t>
            </w:r>
          </w:p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  <w:t xml:space="preserve">uzura calculată, </w:t>
            </w:r>
            <w:r w:rsidRPr="00DB630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  <w:br/>
              <w:t>lei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  <w:t>Valoarea contabilă/</w:t>
            </w:r>
            <w:r w:rsidRPr="00DB630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  <w:br/>
              <w:t xml:space="preserve">de bilanţ, </w:t>
            </w:r>
            <w:r w:rsidRPr="00DB630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  <w:br/>
              <w:t>lei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  <w:t>Gradul</w:t>
            </w:r>
          </w:p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  <w:t>amorti-zării/ uzurii,</w:t>
            </w:r>
            <w:r w:rsidRPr="00DB630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  <w:br/>
              <w:t>%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  <w:t>Note</w:t>
            </w:r>
          </w:p>
        </w:tc>
      </w:tr>
      <w:tr w:rsidR="00DB630E" w:rsidRPr="00DB630E" w:rsidTr="00E602E1">
        <w:trPr>
          <w:jc w:val="center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1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2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3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4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6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7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8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9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10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11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12</w:t>
            </w:r>
          </w:p>
        </w:tc>
      </w:tr>
      <w:tr w:rsidR="00DB630E" w:rsidRPr="00DB630E" w:rsidTr="00E602E1">
        <w:trPr>
          <w:jc w:val="center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1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Imprimanta Panasonic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1510133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12.2009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2775.00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2775.00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2775.00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100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DB630E" w:rsidRPr="00DB630E" w:rsidTr="00E602E1">
        <w:trPr>
          <w:jc w:val="center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2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Calculator Intel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1510117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12.2009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3991.46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3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3991.46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3991.46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100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DB630E" w:rsidRPr="00DB630E" w:rsidTr="00E602E1">
        <w:trPr>
          <w:jc w:val="center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3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Calculator Intel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1510117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12.2009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3991.46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3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3991.46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3991.46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100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DB630E" w:rsidRPr="00DB630E" w:rsidTr="00E602E1">
        <w:trPr>
          <w:jc w:val="center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4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Imprimanta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1510182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12.2009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1000.00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1000.00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1000.00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100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DB630E" w:rsidRPr="00DB630E" w:rsidTr="00E602E1">
        <w:trPr>
          <w:jc w:val="center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 xml:space="preserve">Calculator Intel Pentium 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1510255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12.2015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7700.00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3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7700.00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7700.00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100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DB630E" w:rsidRPr="00DB630E" w:rsidTr="00E602E1">
        <w:trPr>
          <w:jc w:val="center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6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Copiator Canon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1510109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12.2004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901.00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901.00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901.00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100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DB630E" w:rsidRPr="00DB630E" w:rsidTr="00E602E1">
        <w:trPr>
          <w:jc w:val="center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7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Compiuter 824003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1510108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12.2004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200.00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3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200.00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200.00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100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DB630E" w:rsidRPr="00DB630E" w:rsidTr="00E602E1">
        <w:trPr>
          <w:jc w:val="center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DB630E" w:rsidRPr="00DB630E" w:rsidTr="00E602E1">
        <w:trPr>
          <w:jc w:val="center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DB630E" w:rsidRPr="00DB630E" w:rsidTr="00E602E1">
        <w:trPr>
          <w:jc w:val="center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DB630E" w:rsidRPr="00DB630E" w:rsidTr="00E602E1">
        <w:trPr>
          <w:jc w:val="center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DB630E" w:rsidRPr="00DB630E" w:rsidTr="00E602E1">
        <w:trPr>
          <w:jc w:val="center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DB630E" w:rsidRPr="00DB630E" w:rsidTr="00E602E1">
        <w:trPr>
          <w:jc w:val="center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DB630E" w:rsidRPr="00DB630E" w:rsidTr="00E602E1">
        <w:trPr>
          <w:jc w:val="center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DB630E" w:rsidRPr="00DB630E" w:rsidTr="00E602E1">
        <w:trPr>
          <w:jc w:val="center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Total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20558.92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B6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20558.92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30E" w:rsidRPr="00DB630E" w:rsidRDefault="00DB630E" w:rsidP="00DB6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</w:tbl>
    <w:p w:rsidR="00DB630E" w:rsidRPr="00DB630E" w:rsidRDefault="00DB630E" w:rsidP="00DB630E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DB630E" w:rsidRPr="00DB630E" w:rsidRDefault="00DB630E" w:rsidP="00DB63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DB630E"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  <w:t>Notă:</w:t>
      </w:r>
    </w:p>
    <w:p w:rsidR="00DB630E" w:rsidRPr="00DB630E" w:rsidRDefault="00DB630E" w:rsidP="00DB630E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DB630E">
        <w:rPr>
          <w:rFonts w:ascii="Times New Roman" w:eastAsia="Calibri" w:hAnsi="Times New Roman" w:cs="Times New Roman"/>
          <w:sz w:val="20"/>
          <w:szCs w:val="20"/>
          <w:lang w:val="ro-RO"/>
        </w:rPr>
        <w:t>Uzura calculată a mijloacelor fixe, puse în funcţiune pînă la 1 ianuarie 2004, precum şi uzura calculată a mijloacelor fixe, pentru care durata de funcţionare utilă (norma anuală de amortizare) a fost modificată pe parcursul utilizării lor, conform politicii de contabilitate a întreprinderii, se reflectă în Registru în rînduri separate pentru fiecare00 perioadă şi se sumează.”;</w:t>
      </w:r>
    </w:p>
    <w:sectPr w:rsidR="00DB630E" w:rsidRPr="00DB6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B86"/>
    <w:rsid w:val="00637EDB"/>
    <w:rsid w:val="00740B90"/>
    <w:rsid w:val="007E5990"/>
    <w:rsid w:val="008B6FE2"/>
    <w:rsid w:val="00AB2738"/>
    <w:rsid w:val="00B43562"/>
    <w:rsid w:val="00B61B86"/>
    <w:rsid w:val="00DB630E"/>
    <w:rsid w:val="00EF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BDF1740"/>
  <w15:chartTrackingRefBased/>
  <w15:docId w15:val="{7AB33C9D-F0D4-445E-9FC6-55DCE2AD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18</cp:revision>
  <dcterms:created xsi:type="dcterms:W3CDTF">2021-05-17T08:23:00Z</dcterms:created>
  <dcterms:modified xsi:type="dcterms:W3CDTF">2021-05-19T05:51:00Z</dcterms:modified>
</cp:coreProperties>
</file>