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55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3"/>
        <w:gridCol w:w="6430"/>
        <w:gridCol w:w="1416"/>
      </w:tblGrid>
      <w:tr w:rsidR="000F7457" w:rsidRPr="00A835CB" w:rsidTr="00714345">
        <w:trPr>
          <w:trHeight w:val="1418"/>
        </w:trPr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7457" w:rsidRPr="00A835CB" w:rsidRDefault="000F7457" w:rsidP="00E602E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  <w:p w:rsidR="000F7457" w:rsidRPr="00A835CB" w:rsidRDefault="000F7457" w:rsidP="00E602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0" wp14:anchorId="63610D10" wp14:editId="1D3EFF06">
                  <wp:simplePos x="0" y="0"/>
                  <wp:positionH relativeFrom="margin">
                    <wp:posOffset>120015</wp:posOffset>
                  </wp:positionH>
                  <wp:positionV relativeFrom="margin">
                    <wp:posOffset>219075</wp:posOffset>
                  </wp:positionV>
                  <wp:extent cx="569595" cy="685800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7457" w:rsidRPr="00A835CB" w:rsidRDefault="000F7457" w:rsidP="00E6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F7457" w:rsidRPr="00A835CB" w:rsidRDefault="000F7457" w:rsidP="00E602E1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REPUBLICA  MOLDOVA</w:t>
            </w:r>
          </w:p>
          <w:p w:rsidR="000F7457" w:rsidRPr="00A835CB" w:rsidRDefault="000F7457" w:rsidP="00E602E1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CONSILIUL  RAIONAL</w:t>
            </w:r>
          </w:p>
          <w:p w:rsidR="000F7457" w:rsidRPr="00A835CB" w:rsidRDefault="000F7457" w:rsidP="00E602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ÎNGEREI</w:t>
            </w:r>
          </w:p>
          <w:p w:rsidR="000F7457" w:rsidRPr="00A835CB" w:rsidRDefault="000F7457" w:rsidP="00E602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7457" w:rsidRPr="00A835CB" w:rsidRDefault="000F7457" w:rsidP="00E602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14CA455A" wp14:editId="2ED33BB4">
                  <wp:simplePos x="0" y="0"/>
                  <wp:positionH relativeFrom="column">
                    <wp:posOffset>5372100</wp:posOffset>
                  </wp:positionH>
                  <wp:positionV relativeFrom="paragraph">
                    <wp:posOffset>114300</wp:posOffset>
                  </wp:positionV>
                  <wp:extent cx="687070" cy="86614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866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F7457" w:rsidRPr="00A835CB" w:rsidRDefault="000F7457" w:rsidP="00E602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8A63018" wp14:editId="1A900268">
                  <wp:extent cx="561975" cy="71327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228" cy="713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7457" w:rsidRPr="00A835CB" w:rsidRDefault="000F7457" w:rsidP="00E602E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0F7457" w:rsidRPr="00A835CB" w:rsidRDefault="000F7457" w:rsidP="00E602E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F7457" w:rsidRPr="00714345" w:rsidTr="00714345">
        <w:trPr>
          <w:trHeight w:val="289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:rsidR="000F7457" w:rsidRPr="00C158E9" w:rsidRDefault="000F7457" w:rsidP="000F745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Direcția Asistență Socială și Protecție a Familiei</w:t>
            </w:r>
          </w:p>
        </w:tc>
      </w:tr>
    </w:tbl>
    <w:p w:rsidR="000F7457" w:rsidRDefault="000F7457" w:rsidP="000F7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A835C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NOTĂ INFORMATIVĂ</w:t>
      </w:r>
    </w:p>
    <w:p w:rsidR="000F7457" w:rsidRDefault="000F7457" w:rsidP="000F745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0F7457" w:rsidRPr="000F7457" w:rsidRDefault="000F7457" w:rsidP="000F7457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0F745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Cu privire la </w:t>
      </w:r>
      <w:r w:rsidRPr="000F7457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aprobarea în redacție nouă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</w:t>
      </w:r>
      <w:r w:rsidRPr="000F7457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a Regulamentului de organizare și funcționare,</w:t>
      </w:r>
    </w:p>
    <w:p w:rsidR="000F7457" w:rsidRDefault="000F7457" w:rsidP="000F7457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0F7457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structurii, efectivului–limită și organigramei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</w:t>
      </w:r>
      <w:r w:rsidRPr="000F7457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Serviciului social Centrul de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zi pentru copii cu</w:t>
      </w:r>
    </w:p>
    <w:p w:rsidR="00AB2738" w:rsidRDefault="000F7457" w:rsidP="000F7457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0F7457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dizabilități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</w:t>
      </w:r>
      <w:r w:rsidRPr="000F7457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„Luminița”</w:t>
      </w:r>
    </w:p>
    <w:p w:rsidR="000F7457" w:rsidRPr="000F7457" w:rsidRDefault="000F7457" w:rsidP="000F745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0F7457" w:rsidRPr="00714345" w:rsidTr="000F7457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457" w:rsidRPr="000F7457" w:rsidRDefault="000F7457" w:rsidP="0084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0F7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1. Denumirea autorului și după caz, a participanților la elaborarea proiectului</w:t>
            </w:r>
          </w:p>
        </w:tc>
      </w:tr>
      <w:tr w:rsidR="000F7457" w:rsidRPr="00714345" w:rsidTr="000F7457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457" w:rsidRPr="000F7457" w:rsidRDefault="000F7457" w:rsidP="0084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0F745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Proiectul de decizie este elaborat în cadrul  Direcției Asistență Socială și Protecție a Familiei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</w:p>
        </w:tc>
      </w:tr>
      <w:tr w:rsidR="000F7457" w:rsidRPr="00714345" w:rsidTr="000F7457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457" w:rsidRPr="000F7457" w:rsidRDefault="000F7457" w:rsidP="0084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0F7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2. Condițiile ce au impus la elaborarea actului normativ și finalitățile urmărite</w:t>
            </w:r>
          </w:p>
        </w:tc>
      </w:tr>
      <w:tr w:rsidR="000F7457" w:rsidRPr="00714345" w:rsidTr="000F7457">
        <w:trPr>
          <w:trHeight w:val="1699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457" w:rsidRPr="000F7457" w:rsidRDefault="000F7457" w:rsidP="008476E3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Pro</w:t>
            </w:r>
            <w:r w:rsidR="008476E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iectul de decizie este elaborat, </w:t>
            </w:r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av</w:t>
            </w:r>
            <w:r w:rsidR="008476E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î</w:t>
            </w:r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nd ca scop eficientizarea activității Centrului de  de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zi pentru copii cu dizabilități </w:t>
            </w:r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„</w:t>
            </w:r>
            <w:proofErr w:type="spellStart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Luminița</w:t>
            </w:r>
            <w:proofErr w:type="spellEnd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”, </w:t>
            </w:r>
            <w:proofErr w:type="spellStart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diversificarea</w:t>
            </w:r>
            <w:proofErr w:type="spellEnd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serviciilor</w:t>
            </w:r>
            <w:proofErr w:type="spellEnd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prestate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precum</w:t>
            </w:r>
            <w:proofErr w:type="spellEnd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racordarea</w:t>
            </w:r>
            <w:proofErr w:type="spellEnd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Regulamentului</w:t>
            </w:r>
            <w:proofErr w:type="spellEnd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activitate</w:t>
            </w:r>
            <w:proofErr w:type="spellEnd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Centrului</w:t>
            </w:r>
            <w:proofErr w:type="spellEnd"/>
            <w:r w:rsidR="004702D4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</w:t>
            </w:r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prevederile</w:t>
            </w:r>
            <w:proofErr w:type="spellEnd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legislației</w:t>
            </w:r>
            <w:proofErr w:type="spellEnd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vigoare</w:t>
            </w:r>
            <w:proofErr w:type="spellEnd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:rsidR="000F7457" w:rsidRPr="000F7457" w:rsidRDefault="000F7457" w:rsidP="008476E3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La etapa ac</w:t>
            </w:r>
            <w:r w:rsidR="008476E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t</w:t>
            </w:r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uală</w:t>
            </w:r>
            <w:r w:rsidR="008476E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 beneficiarii C</w:t>
            </w:r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entrului sunt doar copii cu dizabilități. Asistența fiecărui </w:t>
            </w:r>
            <w:r w:rsidR="008476E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copil cu dizabilitate în Centru, </w:t>
            </w:r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se realizează în baza programului individualizat de intervenție. Astfel, modificările propuse vor asigura calitatea constantă a serviciilor acordate.</w:t>
            </w:r>
          </w:p>
        </w:tc>
      </w:tr>
      <w:tr w:rsidR="000F7457" w:rsidRPr="00714345" w:rsidTr="000F7457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457" w:rsidRPr="000F7457" w:rsidRDefault="000F7457" w:rsidP="0084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0F7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3</w:t>
            </w:r>
            <w:r w:rsidRPr="000F7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.</w:t>
            </w:r>
            <w:r w:rsidRPr="000F7457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Principalele prevederi ale proiectului şi evidenţierea elementelor noi</w:t>
            </w:r>
          </w:p>
        </w:tc>
      </w:tr>
      <w:tr w:rsidR="000F7457" w:rsidRPr="00714345" w:rsidTr="008476E3">
        <w:trPr>
          <w:trHeight w:val="3244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457" w:rsidRPr="000F7457" w:rsidRDefault="000F7457" w:rsidP="008476E3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Serviciul social Centrul de zi pentru copii cu dizabilități </w:t>
            </w:r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Luminița</w:t>
            </w:r>
            <w:proofErr w:type="spellEnd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”, </w:t>
            </w:r>
            <w:proofErr w:type="spellStart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reprezintă</w:t>
            </w:r>
            <w:proofErr w:type="spellEnd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instituție</w:t>
            </w:r>
            <w:proofErr w:type="spellEnd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socială</w:t>
            </w:r>
            <w:proofErr w:type="spellEnd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prestează</w:t>
            </w:r>
            <w:proofErr w:type="spellEnd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specializate</w:t>
            </w:r>
            <w:proofErr w:type="spellEnd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dezvoltare</w:t>
            </w:r>
            <w:proofErr w:type="spellEnd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copii</w:t>
            </w:r>
            <w:proofErr w:type="spellEnd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dizabilități</w:t>
            </w:r>
            <w:proofErr w:type="spellEnd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organizează</w:t>
            </w:r>
            <w:proofErr w:type="spellEnd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desfășoară</w:t>
            </w:r>
            <w:proofErr w:type="spellEnd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diverse </w:t>
            </w:r>
            <w:proofErr w:type="spellStart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activități</w:t>
            </w:r>
            <w:proofErr w:type="spellEnd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distractive, </w:t>
            </w:r>
            <w:proofErr w:type="spellStart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culturale</w:t>
            </w:r>
            <w:proofErr w:type="spellEnd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ocupaționale</w:t>
            </w:r>
            <w:proofErr w:type="spellEnd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:rsidR="000F7457" w:rsidRPr="000F7457" w:rsidRDefault="000F7457" w:rsidP="008476E3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   Modificările propuse vor atinge scopurile următoare:</w:t>
            </w:r>
          </w:p>
          <w:p w:rsidR="000F7457" w:rsidRPr="000F7457" w:rsidRDefault="000F7457" w:rsidP="008476E3">
            <w:pPr>
              <w:numPr>
                <w:ilvl w:val="0"/>
                <w:numId w:val="1"/>
              </w:numPr>
              <w:tabs>
                <w:tab w:val="center" w:pos="467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Prestarea serviciilor individuale de caliatate, în funcție de necesitățile beneficiarului;</w:t>
            </w:r>
          </w:p>
          <w:p w:rsidR="000F7457" w:rsidRPr="000F7457" w:rsidRDefault="000F7457" w:rsidP="008476E3">
            <w:pPr>
              <w:numPr>
                <w:ilvl w:val="0"/>
                <w:numId w:val="1"/>
              </w:numPr>
              <w:tabs>
                <w:tab w:val="center" w:pos="467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Dezvoltarea abilităților de auto-deservire, autonomie și a climatului favorabil pentru dezvoltarea personalității copilului cu dizabilități;</w:t>
            </w:r>
          </w:p>
          <w:p w:rsidR="000F7457" w:rsidRPr="000F7457" w:rsidRDefault="000F7457" w:rsidP="008476E3">
            <w:pPr>
              <w:numPr>
                <w:ilvl w:val="0"/>
                <w:numId w:val="1"/>
              </w:numPr>
              <w:tabs>
                <w:tab w:val="center" w:pos="467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Asigurarea socializării beneficiarilor și sensibilizarea opiniei publice referitor la problemele copiilor cu dizabillități;</w:t>
            </w:r>
          </w:p>
          <w:p w:rsidR="000F7457" w:rsidRPr="000F7457" w:rsidRDefault="000F7457" w:rsidP="008476E3">
            <w:pPr>
              <w:numPr>
                <w:ilvl w:val="0"/>
                <w:numId w:val="1"/>
              </w:numPr>
              <w:tabs>
                <w:tab w:val="center" w:pos="467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Asigurarea incluziunii sociale a copiilor cu dizabilități prin sporirea competențelor sociale, implicarea acestora în diverse activități socio-educative.</w:t>
            </w:r>
          </w:p>
          <w:p w:rsidR="000F7457" w:rsidRPr="000F7457" w:rsidRDefault="000F7457" w:rsidP="008476E3">
            <w:pPr>
              <w:tabs>
                <w:tab w:val="left" w:pos="9360"/>
              </w:tabs>
              <w:spacing w:after="0" w:line="240" w:lineRule="auto"/>
              <w:ind w:right="-81"/>
              <w:jc w:val="both"/>
              <w:rPr>
                <w:rFonts w:ascii="Times New Roman" w:eastAsia="Calibri" w:hAnsi="Times New Roman" w:cs="Times New Roman"/>
                <w:sz w:val="6"/>
                <w:szCs w:val="6"/>
                <w:lang w:val="ro-RO"/>
              </w:rPr>
            </w:pPr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Racordarea Regulamentului de activitate a Centrului la prevederile legislației în vigoare.</w:t>
            </w:r>
          </w:p>
          <w:p w:rsidR="000F7457" w:rsidRPr="000F7457" w:rsidRDefault="000F7457" w:rsidP="008476E3">
            <w:pPr>
              <w:tabs>
                <w:tab w:val="left" w:pos="9360"/>
              </w:tabs>
              <w:spacing w:after="0" w:line="240" w:lineRule="auto"/>
              <w:ind w:right="-81" w:firstLine="708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o-RO" w:eastAsia="ru-RU"/>
              </w:rPr>
            </w:pPr>
          </w:p>
        </w:tc>
      </w:tr>
      <w:tr w:rsidR="000F7457" w:rsidRPr="000F7457" w:rsidTr="000F7457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457" w:rsidRPr="000F7457" w:rsidRDefault="000F7457" w:rsidP="0084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0F7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4. Fundamentarea economico-financiară</w:t>
            </w:r>
          </w:p>
        </w:tc>
      </w:tr>
      <w:tr w:rsidR="000F7457" w:rsidRPr="00714345" w:rsidTr="000F7457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457" w:rsidRPr="000F7457" w:rsidRDefault="000F7457" w:rsidP="0084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0F745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Nu sunt necesare surse financiare pentru implementarea prezentului proiect de  decizie.</w:t>
            </w:r>
          </w:p>
        </w:tc>
      </w:tr>
      <w:tr w:rsidR="000F7457" w:rsidRPr="00714345" w:rsidTr="000F7457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457" w:rsidRPr="000F7457" w:rsidRDefault="000F7457" w:rsidP="0084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0F7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5. Modul de încorporare  a actului în cadrul normativ în vigoare</w:t>
            </w:r>
          </w:p>
        </w:tc>
      </w:tr>
      <w:tr w:rsidR="000F7457" w:rsidRPr="00714345" w:rsidTr="000F7457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457" w:rsidRPr="000F7457" w:rsidRDefault="000F7457" w:rsidP="0084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0F745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0F7457">
              <w:rPr>
                <w:rFonts w:ascii="Calibri" w:eastAsia="Times New Roman" w:hAnsi="Calibri" w:cs="Times New Roman"/>
                <w:lang w:val="en-US" w:eastAsia="ru-RU"/>
              </w:rPr>
              <w:t xml:space="preserve"> </w:t>
            </w:r>
            <w:r w:rsidRPr="000F7457">
              <w:rPr>
                <w:rFonts w:ascii="Calibri" w:eastAsia="Times New Roman" w:hAnsi="Calibri" w:cs="Times New Roman"/>
                <w:lang w:val="ro-RO" w:eastAsia="ru-RU"/>
              </w:rPr>
              <w:t xml:space="preserve"> </w:t>
            </w:r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Proiectul de decizie cu privire la </w:t>
            </w:r>
            <w:r w:rsidRPr="000F7457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  <w:t xml:space="preserve">aprobarea </w:t>
            </w:r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în redacție nouă a Regulamentului de organizare și funcționare, structurii, efectivului–limită și organigramei Serviciului social Centrul de z</w:t>
            </w:r>
            <w:proofErr w:type="spellStart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pentru copii cu dizabilități „Luminița”</w:t>
            </w:r>
            <w:r w:rsidRPr="000F7457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  <w:t xml:space="preserve"> </w:t>
            </w:r>
            <w:r w:rsidRPr="000F7457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este în conformitate cu normele legale.</w:t>
            </w:r>
          </w:p>
        </w:tc>
      </w:tr>
    </w:tbl>
    <w:p w:rsidR="000F7457" w:rsidRDefault="000F7457">
      <w:pPr>
        <w:rPr>
          <w:lang w:val="en-US"/>
        </w:rPr>
      </w:pPr>
    </w:p>
    <w:tbl>
      <w:tblPr>
        <w:tblW w:w="5379" w:type="pct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8"/>
        <w:gridCol w:w="4476"/>
      </w:tblGrid>
      <w:tr w:rsidR="000F7457" w:rsidRPr="00714345" w:rsidTr="00714345">
        <w:trPr>
          <w:trHeight w:val="80"/>
        </w:trPr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</w:tcPr>
          <w:p w:rsidR="000F7457" w:rsidRPr="001D64A0" w:rsidRDefault="000F7457" w:rsidP="00E6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0F7457" w:rsidRPr="001D64A0" w:rsidRDefault="000F7457" w:rsidP="00E6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0F7457" w:rsidRPr="001D64A0" w:rsidRDefault="000F7457" w:rsidP="00E6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ÎNTOCMIT</w:t>
            </w:r>
          </w:p>
          <w:p w:rsidR="000F7457" w:rsidRPr="001D64A0" w:rsidRDefault="000F7457" w:rsidP="00E602E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1D64A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>Direcția Asistență Socială și Protecție a Familiei</w:t>
            </w:r>
          </w:p>
          <w:p w:rsidR="000F7457" w:rsidRPr="001D64A0" w:rsidRDefault="000F7457" w:rsidP="000F74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1D64A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Maria BAJURA</w:t>
            </w:r>
          </w:p>
          <w:p w:rsidR="000F7457" w:rsidRPr="001D64A0" w:rsidRDefault="000F7457" w:rsidP="00E6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_____________________</w:t>
            </w: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____</w:t>
            </w:r>
          </w:p>
        </w:tc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</w:tcPr>
          <w:p w:rsidR="000F7457" w:rsidRPr="001D64A0" w:rsidRDefault="000F7457" w:rsidP="00E6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0F7457" w:rsidRPr="001D64A0" w:rsidRDefault="000F7457" w:rsidP="00E6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0F7457" w:rsidRPr="001D64A0" w:rsidRDefault="000F7457" w:rsidP="00E6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SUSŢIN</w:t>
            </w:r>
          </w:p>
          <w:p w:rsidR="000F7457" w:rsidRPr="001D64A0" w:rsidRDefault="000F7457" w:rsidP="00E6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1D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VICEPREŞEDINTELE RAIONULUI</w:t>
            </w:r>
          </w:p>
          <w:p w:rsidR="000F7457" w:rsidRPr="001D64A0" w:rsidRDefault="000F7457" w:rsidP="000F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Tudor TUTUNARU</w:t>
            </w:r>
          </w:p>
          <w:p w:rsidR="000F7457" w:rsidRPr="001D64A0" w:rsidRDefault="000F7457" w:rsidP="00E6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D64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__________________________</w:t>
            </w:r>
          </w:p>
          <w:p w:rsidR="000F7457" w:rsidRPr="001D64A0" w:rsidRDefault="000F7457" w:rsidP="000F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</w:tbl>
    <w:tbl>
      <w:tblPr>
        <w:tblpPr w:leftFromText="180" w:rightFromText="180" w:vertAnchor="page" w:horzAnchor="margin" w:tblpY="301"/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8"/>
        <w:gridCol w:w="1641"/>
        <w:gridCol w:w="3969"/>
      </w:tblGrid>
      <w:tr w:rsidR="000F7457" w:rsidRPr="00A835CB" w:rsidTr="00E602E1">
        <w:trPr>
          <w:trHeight w:val="1617"/>
        </w:trPr>
        <w:tc>
          <w:tcPr>
            <w:tcW w:w="375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F7457" w:rsidRDefault="000F7457" w:rsidP="00E602E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</w:p>
          <w:p w:rsidR="000F7457" w:rsidRPr="00A835CB" w:rsidRDefault="000F7457" w:rsidP="00E602E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REPUBLICA  MOLDOVA</w:t>
            </w:r>
          </w:p>
          <w:p w:rsidR="000F7457" w:rsidRPr="00A835CB" w:rsidRDefault="000F7457" w:rsidP="00E602E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</w:p>
          <w:p w:rsidR="000F7457" w:rsidRPr="00A835CB" w:rsidRDefault="000F7457" w:rsidP="00E602E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CONSILIUL  RAIONAL</w:t>
            </w:r>
          </w:p>
          <w:p w:rsidR="000F7457" w:rsidRPr="00A835CB" w:rsidRDefault="000F7457" w:rsidP="00E6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ÎNGEREI</w:t>
            </w:r>
          </w:p>
          <w:p w:rsidR="000F7457" w:rsidRPr="00A835CB" w:rsidRDefault="000F7457" w:rsidP="00E6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F7457" w:rsidRPr="00A835CB" w:rsidRDefault="000F7457" w:rsidP="00E60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F7457" w:rsidRPr="00A835CB" w:rsidRDefault="000F7457" w:rsidP="00E6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D1DFC4" wp14:editId="278243E9">
                  <wp:extent cx="647700" cy="8286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7457" w:rsidRPr="00A835CB" w:rsidRDefault="000F7457" w:rsidP="00E60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F7457" w:rsidRDefault="000F7457" w:rsidP="00E602E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0F7457" w:rsidRPr="00A835CB" w:rsidRDefault="000F7457" w:rsidP="00E602E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РЕСПУБЛИКА МОЛДОВА</w:t>
            </w:r>
          </w:p>
          <w:p w:rsidR="000F7457" w:rsidRPr="00A835CB" w:rsidRDefault="000F7457" w:rsidP="00E6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</w:p>
          <w:p w:rsidR="000F7457" w:rsidRPr="00A835CB" w:rsidRDefault="000F7457" w:rsidP="00E6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СЫНДЖЕРЕЙСКИЙ</w:t>
            </w:r>
          </w:p>
          <w:p w:rsidR="000F7457" w:rsidRPr="00A835CB" w:rsidRDefault="000F7457" w:rsidP="00E6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РАЙОННЫЙ СОВЕТ</w:t>
            </w:r>
          </w:p>
          <w:p w:rsidR="000F7457" w:rsidRPr="00A835CB" w:rsidRDefault="000F7457" w:rsidP="00E6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0F7457" w:rsidRPr="00A835CB" w:rsidRDefault="000F7457" w:rsidP="00E60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</w:tr>
    </w:tbl>
    <w:p w:rsidR="000F7457" w:rsidRDefault="00D4235F" w:rsidP="00D4235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EXTRAS</w:t>
      </w:r>
    </w:p>
    <w:p w:rsidR="000F7457" w:rsidRPr="00A835CB" w:rsidRDefault="000F7457" w:rsidP="000F7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DECIZIE </w:t>
      </w:r>
      <w:proofErr w:type="spellStart"/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Nr</w:t>
      </w:r>
      <w:proofErr w:type="spellEnd"/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2/7</w:t>
      </w:r>
    </w:p>
    <w:p w:rsidR="000F7457" w:rsidRPr="00A835CB" w:rsidRDefault="000F7457" w:rsidP="000F7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din</w:t>
      </w:r>
      <w:proofErr w:type="gramEnd"/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14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2021</w:t>
      </w:r>
    </w:p>
    <w:p w:rsidR="000F7457" w:rsidRDefault="000F7457" w:rsidP="000F7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or</w:t>
      </w:r>
      <w:proofErr w:type="gramEnd"/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. </w:t>
      </w:r>
      <w:proofErr w:type="spellStart"/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Sîngerei</w:t>
      </w:r>
      <w:proofErr w:type="spellEnd"/>
    </w:p>
    <w:p w:rsidR="000F7457" w:rsidRDefault="000F7457">
      <w:pPr>
        <w:rPr>
          <w:lang w:val="en-US"/>
        </w:rPr>
      </w:pPr>
    </w:p>
    <w:p w:rsidR="000F7457" w:rsidRPr="000F7457" w:rsidRDefault="000F7457" w:rsidP="000F7457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0F745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Cu privire la </w:t>
      </w:r>
      <w:r w:rsidRPr="000F7457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aprobarea în redacție nouă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</w:t>
      </w:r>
      <w:r w:rsidRPr="000F7457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a Regulamentului de organizare și funcționare,</w:t>
      </w:r>
    </w:p>
    <w:p w:rsidR="000F7457" w:rsidRDefault="000F7457" w:rsidP="000F7457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0F7457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structurii, efectivului–limită și organigramei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</w:t>
      </w:r>
      <w:r w:rsidRPr="000F7457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Serviciului social Centrul de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zi pentru copii cu</w:t>
      </w:r>
    </w:p>
    <w:p w:rsidR="000F7457" w:rsidRDefault="000F7457" w:rsidP="000F7457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0F7457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dizabilități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</w:t>
      </w:r>
      <w:r w:rsidRPr="000F7457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„Luminița”</w:t>
      </w:r>
    </w:p>
    <w:p w:rsidR="000F7457" w:rsidRPr="008476E3" w:rsidRDefault="000F7457">
      <w:pPr>
        <w:rPr>
          <w:color w:val="000000" w:themeColor="text1"/>
          <w:lang w:val="en-US"/>
        </w:rPr>
      </w:pPr>
    </w:p>
    <w:p w:rsidR="00E80ECE" w:rsidRDefault="00E80ECE" w:rsidP="00E80EC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lang w:val="ro-RO"/>
        </w:rPr>
      </w:pPr>
      <w:r w:rsidRPr="008476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Avî</w:t>
      </w:r>
      <w:r w:rsidRPr="000F74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nd în vedere nota informativă cu privire la</w:t>
      </w:r>
      <w:r w:rsidRPr="000F745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 w:eastAsia="ru-RU"/>
        </w:rPr>
        <w:t xml:space="preserve"> </w:t>
      </w:r>
      <w:r w:rsidRPr="008476E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>aprobarea în redacție nouă a Regulamentului de organizare și funcționare, structurii, efectivului – limită și organigramei Serviciului social Centrul de</w:t>
      </w:r>
      <w:r w:rsidRPr="008476E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  <w:r w:rsidRPr="008476E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>de zi pentru copii cu dizabilități „Luminița”,</w:t>
      </w:r>
      <w:r w:rsidRPr="008476E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  <w:r w:rsidRPr="000F745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>în scopul asigurării durabilității serviciului creat și racordării acestora la rigo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>ri</w:t>
      </w:r>
      <w:r w:rsidRPr="000F745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 xml:space="preserve">le legislației, </w:t>
      </w:r>
      <w:r w:rsidRPr="008476E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ro-RO"/>
        </w:rPr>
        <w:t xml:space="preserve">în temeiul </w:t>
      </w:r>
      <w:r w:rsidRPr="000F7457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lang w:val="ro-RO"/>
        </w:rPr>
        <w:t xml:space="preserve">Hotărârii Guvernului nr. 569/2019 cu privire la aprobarea Regulamentului-cadru privind organizarea și funcționarea Serviciului social </w:t>
      </w:r>
      <w:r w:rsidRPr="000F745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„</w:t>
      </w:r>
      <w:proofErr w:type="spellStart"/>
      <w:r w:rsidRPr="000F745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Centrul</w:t>
      </w:r>
      <w:proofErr w:type="spellEnd"/>
      <w:r w:rsidRPr="000F745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0F745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zi</w:t>
      </w:r>
      <w:proofErr w:type="spellEnd"/>
      <w:r w:rsidRPr="000F745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F745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pentru</w:t>
      </w:r>
      <w:proofErr w:type="spellEnd"/>
      <w:r w:rsidRPr="000F745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F745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persoane</w:t>
      </w:r>
      <w:proofErr w:type="spellEnd"/>
      <w:r w:rsidRPr="000F745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Pr="000F745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dizabilități</w:t>
      </w:r>
      <w:proofErr w:type="spellEnd"/>
      <w:r w:rsidRPr="000F745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”</w:t>
      </w:r>
      <w:r w:rsidRPr="000F7457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lang w:val="ro-RO"/>
        </w:rPr>
        <w:t xml:space="preserve"> și a Standardelor minime de calitate, Hotărârii Guvernului nr. 824/2008 </w:t>
      </w:r>
      <w:proofErr w:type="spellStart"/>
      <w:r w:rsidRPr="008476E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privind</w:t>
      </w:r>
      <w:proofErr w:type="spellEnd"/>
      <w:r w:rsidRPr="008476E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476E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aprobarea</w:t>
      </w:r>
      <w:proofErr w:type="spellEnd"/>
      <w:r w:rsidRPr="008476E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476E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Standardelor</w:t>
      </w:r>
      <w:proofErr w:type="spellEnd"/>
      <w:r w:rsidRPr="008476E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476E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minime</w:t>
      </w:r>
      <w:proofErr w:type="spellEnd"/>
      <w:r w:rsidRPr="008476E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8476E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calitate</w:t>
      </w:r>
      <w:proofErr w:type="spellEnd"/>
      <w:r w:rsidRPr="008476E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476E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pentru</w:t>
      </w:r>
      <w:proofErr w:type="spellEnd"/>
      <w:r w:rsidRPr="008476E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476E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serviciile</w:t>
      </w:r>
      <w:proofErr w:type="spellEnd"/>
      <w:r w:rsidRPr="000F745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n-US"/>
        </w:rPr>
        <w:br/>
      </w:r>
      <w:proofErr w:type="spellStart"/>
      <w:r w:rsidRPr="008476E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sociale</w:t>
      </w:r>
      <w:proofErr w:type="spellEnd"/>
      <w:r w:rsidRPr="008476E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476E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prestate</w:t>
      </w:r>
      <w:proofErr w:type="spellEnd"/>
      <w:r w:rsidRPr="008476E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476E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în</w:t>
      </w:r>
      <w:proofErr w:type="spellEnd"/>
      <w:r w:rsidRPr="008476E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476E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centrele</w:t>
      </w:r>
      <w:proofErr w:type="spellEnd"/>
      <w:r w:rsidRPr="008476E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8476E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zi</w:t>
      </w:r>
      <w:proofErr w:type="spellEnd"/>
      <w:r w:rsidRPr="008476E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476E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pentru</w:t>
      </w:r>
      <w:proofErr w:type="spellEnd"/>
      <w:r w:rsidRPr="008476E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476E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copii</w:t>
      </w:r>
      <w:proofErr w:type="spellEnd"/>
      <w:r w:rsidRPr="008476E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Pr="008476E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dizabilităţi</w:t>
      </w:r>
      <w:proofErr w:type="spellEnd"/>
      <w:r w:rsidRPr="008476E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8476E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L</w:t>
      </w:r>
      <w:r w:rsidRPr="000F745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egii</w:t>
      </w:r>
      <w:proofErr w:type="spellEnd"/>
      <w:r w:rsidRPr="000F745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F745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nr</w:t>
      </w:r>
      <w:proofErr w:type="spellEnd"/>
      <w:r w:rsidRPr="000F745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338/1994 „</w:t>
      </w:r>
      <w:proofErr w:type="spellStart"/>
      <w:r w:rsidRPr="000F745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0F745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F745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drepturile</w:t>
      </w:r>
      <w:proofErr w:type="spellEnd"/>
      <w:r w:rsidRPr="000F745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F745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copilului</w:t>
      </w:r>
      <w:proofErr w:type="spellEnd"/>
      <w:r w:rsidRPr="000F745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”, </w:t>
      </w:r>
      <w:proofErr w:type="spellStart"/>
      <w:r w:rsidRPr="000F745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0F745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F745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nr</w:t>
      </w:r>
      <w:proofErr w:type="spellEnd"/>
      <w:r w:rsidRPr="000F745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gramStart"/>
      <w:r w:rsidRPr="000F745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123/2010</w:t>
      </w:r>
      <w:proofErr w:type="gramEnd"/>
      <w:r w:rsidRPr="000F745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0F745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„Cu </w:t>
      </w:r>
      <w:proofErr w:type="spellStart"/>
      <w:r w:rsidRPr="000F745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privire</w:t>
      </w:r>
      <w:proofErr w:type="spellEnd"/>
      <w:r w:rsidRPr="000F745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0F745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serviciile</w:t>
      </w:r>
      <w:proofErr w:type="spellEnd"/>
      <w:r w:rsidRPr="000F745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F745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sociale</w:t>
      </w:r>
      <w:proofErr w:type="spellEnd"/>
      <w:r w:rsidRPr="000F745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”, </w:t>
      </w:r>
      <w:proofErr w:type="spellStart"/>
      <w:r w:rsidRPr="000F745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0F745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nr.60/2012 „</w:t>
      </w:r>
      <w:r w:rsidRPr="000F745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>Privind incluziunea socială a persoanelor cu dizabilități</w:t>
      </w:r>
      <w:r w:rsidRPr="000F745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”, </w:t>
      </w:r>
      <w:r w:rsidRPr="000F745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>art. 43 (1) lit.(j</w:t>
      </w:r>
      <w:r w:rsidRPr="000F7457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  <w:lang w:val="ro-RO"/>
        </w:rPr>
        <w:t>1</w:t>
      </w:r>
      <w:r w:rsidRPr="000F745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 xml:space="preserve">) al </w:t>
      </w:r>
      <w:r w:rsidRPr="000F7457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lang w:val="ro-RO"/>
        </w:rPr>
        <w:t xml:space="preserve">Legii nr. 436/2006 privind administrația publică locală, </w:t>
      </w:r>
    </w:p>
    <w:p w:rsidR="00E80ECE" w:rsidRPr="000F7457" w:rsidRDefault="00E80ECE" w:rsidP="00E80EC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r w:rsidRPr="000F74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Consiliul Raional</w:t>
      </w:r>
    </w:p>
    <w:p w:rsidR="00E80ECE" w:rsidRPr="000F7457" w:rsidRDefault="00E80ECE" w:rsidP="00E80ECE">
      <w:pPr>
        <w:tabs>
          <w:tab w:val="left" w:pos="9360"/>
        </w:tabs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0F745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                                                             DECIDE:</w:t>
      </w:r>
    </w:p>
    <w:p w:rsidR="00E80ECE" w:rsidRPr="000F7457" w:rsidRDefault="00E80ECE" w:rsidP="00E80E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0F745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1.</w:t>
      </w:r>
      <w:r w:rsidRPr="000F745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Se aprobă:</w:t>
      </w:r>
    </w:p>
    <w:p w:rsidR="00E80ECE" w:rsidRPr="000F7457" w:rsidRDefault="00E80ECE" w:rsidP="00E80ECE">
      <w:pPr>
        <w:shd w:val="clear" w:color="auto" w:fill="FFFFFF"/>
        <w:spacing w:after="0" w:line="360" w:lineRule="auto"/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F745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1.1.</w:t>
      </w:r>
      <w:r w:rsidRPr="000F745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Regulamentul de organizare și funcționare a Serviciului social Centrul </w:t>
      </w:r>
      <w:r w:rsidRPr="000F745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 zi pentru copii cu dizabilități </w:t>
      </w:r>
      <w:r w:rsidRPr="000F7457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proofErr w:type="spellStart"/>
      <w:r w:rsidRPr="000F7457">
        <w:rPr>
          <w:rFonts w:ascii="Times New Roman" w:eastAsia="Times New Roman" w:hAnsi="Times New Roman" w:cs="Times New Roman"/>
          <w:sz w:val="24"/>
          <w:szCs w:val="24"/>
          <w:lang w:val="en-US"/>
        </w:rPr>
        <w:t>Luminița</w:t>
      </w:r>
      <w:proofErr w:type="spellEnd"/>
      <w:r w:rsidRPr="000F7457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Pr="000F7457">
        <w:rPr>
          <w:rFonts w:ascii="Times New Roman" w:eastAsia="Times New Roman" w:hAnsi="Times New Roman" w:cs="Times New Roman"/>
          <w:sz w:val="24"/>
          <w:szCs w:val="24"/>
          <w:lang w:val="ro-RO"/>
        </w:rPr>
        <w:t>, în redacție nouă, conform anexei nr. 1;</w:t>
      </w:r>
    </w:p>
    <w:p w:rsidR="00E80ECE" w:rsidRPr="000F7457" w:rsidRDefault="00E80ECE" w:rsidP="00E80ECE">
      <w:pPr>
        <w:shd w:val="clear" w:color="auto" w:fill="FFFFFF"/>
        <w:spacing w:after="0" w:line="360" w:lineRule="auto"/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F7457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1.2.</w:t>
      </w:r>
      <w:r w:rsidRPr="000F745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Structura </w:t>
      </w:r>
      <w:r w:rsidRPr="000F745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Serviciului social Centrul de</w:t>
      </w:r>
      <w:r w:rsidRPr="000F745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zi pentru copii cu dizabilități </w:t>
      </w:r>
      <w:r w:rsidRPr="000F7457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proofErr w:type="spellStart"/>
      <w:r w:rsidRPr="000F7457">
        <w:rPr>
          <w:rFonts w:ascii="Times New Roman" w:eastAsia="Times New Roman" w:hAnsi="Times New Roman" w:cs="Times New Roman"/>
          <w:sz w:val="24"/>
          <w:szCs w:val="24"/>
          <w:lang w:val="en-US"/>
        </w:rPr>
        <w:t>Luminița</w:t>
      </w:r>
      <w:proofErr w:type="spellEnd"/>
      <w:r w:rsidRPr="000F7457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Pr="000F7457">
        <w:rPr>
          <w:rFonts w:ascii="Times New Roman" w:eastAsia="Times New Roman" w:hAnsi="Times New Roman" w:cs="Times New Roman"/>
          <w:sz w:val="24"/>
          <w:szCs w:val="24"/>
          <w:lang w:val="ro-RO"/>
        </w:rPr>
        <w:t>, conform anexei nr. 2;</w:t>
      </w:r>
    </w:p>
    <w:p w:rsidR="00E80ECE" w:rsidRPr="000F7457" w:rsidRDefault="00E80ECE" w:rsidP="00E80ECE">
      <w:pPr>
        <w:shd w:val="clear" w:color="auto" w:fill="FFFFFF"/>
        <w:spacing w:after="0" w:line="360" w:lineRule="auto"/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F7457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1.3.</w:t>
      </w:r>
      <w:r w:rsidRPr="000F745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Organigrama </w:t>
      </w:r>
      <w:r w:rsidRPr="000F745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Serviciului social Centrul de</w:t>
      </w:r>
      <w:r w:rsidRPr="000F745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zi pentru copii cu dizabilități </w:t>
      </w:r>
      <w:r w:rsidRPr="000F7457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proofErr w:type="spellStart"/>
      <w:r w:rsidRPr="000F7457">
        <w:rPr>
          <w:rFonts w:ascii="Times New Roman" w:eastAsia="Times New Roman" w:hAnsi="Times New Roman" w:cs="Times New Roman"/>
          <w:sz w:val="24"/>
          <w:szCs w:val="24"/>
          <w:lang w:val="en-US"/>
        </w:rPr>
        <w:t>Luminița</w:t>
      </w:r>
      <w:proofErr w:type="spellEnd"/>
      <w:r w:rsidRPr="000F7457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Pr="000F7457">
        <w:rPr>
          <w:rFonts w:ascii="Times New Roman" w:eastAsia="Times New Roman" w:hAnsi="Times New Roman" w:cs="Times New Roman"/>
          <w:sz w:val="24"/>
          <w:szCs w:val="24"/>
          <w:lang w:val="ro-RO"/>
        </w:rPr>
        <w:t>, conform anexei nr. 3;</w:t>
      </w:r>
    </w:p>
    <w:p w:rsidR="00E80ECE" w:rsidRPr="000F7457" w:rsidRDefault="00E80ECE" w:rsidP="00E80E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F7457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2.</w:t>
      </w:r>
      <w:r w:rsidRPr="000F745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efectivul-limită de personal al </w:t>
      </w:r>
      <w:r w:rsidRPr="000F745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Serviciului social Centrul de</w:t>
      </w:r>
      <w:r w:rsidRPr="000F745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zi pentru copii cu dizabilități </w:t>
      </w:r>
      <w:r w:rsidRPr="000F7457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proofErr w:type="spellStart"/>
      <w:r w:rsidRPr="000F7457">
        <w:rPr>
          <w:rFonts w:ascii="Times New Roman" w:eastAsia="Times New Roman" w:hAnsi="Times New Roman" w:cs="Times New Roman"/>
          <w:sz w:val="24"/>
          <w:szCs w:val="24"/>
          <w:lang w:val="en-US"/>
        </w:rPr>
        <w:t>Luminița</w:t>
      </w:r>
      <w:proofErr w:type="spellEnd"/>
      <w:r w:rsidRPr="000F74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</w:t>
      </w:r>
      <w:r w:rsidRPr="000F7457">
        <w:rPr>
          <w:rFonts w:ascii="Times New Roman" w:eastAsia="Times New Roman" w:hAnsi="Times New Roman" w:cs="Times New Roman"/>
          <w:sz w:val="24"/>
          <w:szCs w:val="24"/>
          <w:lang w:val="ro-RO"/>
        </w:rPr>
        <w:t>în număr de 7 de unități.</w:t>
      </w:r>
    </w:p>
    <w:p w:rsidR="00E80ECE" w:rsidRPr="000F7457" w:rsidRDefault="00E80ECE" w:rsidP="00E80E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F7457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3.</w:t>
      </w:r>
      <w:r w:rsidRPr="000F745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abrogă:</w:t>
      </w:r>
    </w:p>
    <w:p w:rsidR="00E80ECE" w:rsidRPr="000F7457" w:rsidRDefault="00E80ECE" w:rsidP="00E80ECE">
      <w:pPr>
        <w:shd w:val="clear" w:color="auto" w:fill="FFFFFF"/>
        <w:spacing w:after="0" w:line="360" w:lineRule="auto"/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F7457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3.1.</w:t>
      </w:r>
      <w:r w:rsidRPr="000F745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Anexa nr.2,  Regulamentul de organizare și funcționare  a instituției „Centrul de reabilitare și resurse pentru copii cu dizabilități „Luminița” , a Deciziei Consiliului raional Sîngerei nr.2/16 </w:t>
      </w:r>
      <w:r w:rsidRPr="000F7457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 xml:space="preserve">din 05.04.2012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Pr="000F7457">
        <w:rPr>
          <w:rFonts w:ascii="Times New Roman" w:eastAsia="Times New Roman" w:hAnsi="Times New Roman" w:cs="Times New Roman"/>
          <w:sz w:val="24"/>
          <w:szCs w:val="24"/>
          <w:lang w:val="ro-RO"/>
        </w:rPr>
        <w:t>Cu privire la înființarea instituției publice „Centrul de reabilitare și resurse pentru copii cu dizabilități „Luminița”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”” </w:t>
      </w:r>
      <w:r w:rsidRPr="000F7457">
        <w:rPr>
          <w:rFonts w:ascii="Times New Roman" w:eastAsia="Times New Roman" w:hAnsi="Times New Roman" w:cs="Times New Roman"/>
          <w:sz w:val="24"/>
          <w:szCs w:val="24"/>
          <w:lang w:val="ro-RO"/>
        </w:rPr>
        <w:t>și aprobarea Regulamentului de organizare și funcționare;</w:t>
      </w:r>
    </w:p>
    <w:p w:rsidR="00E80ECE" w:rsidRPr="000F7457" w:rsidRDefault="00E80ECE" w:rsidP="00E80ECE">
      <w:pPr>
        <w:shd w:val="clear" w:color="auto" w:fill="FFFFFF"/>
        <w:spacing w:after="0" w:line="360" w:lineRule="auto"/>
        <w:ind w:left="1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0F7457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3.2. </w:t>
      </w:r>
      <w:r w:rsidRPr="000F7457">
        <w:rPr>
          <w:rFonts w:ascii="Times New Roman" w:eastAsia="Times New Roman" w:hAnsi="Times New Roman" w:cs="Times New Roman"/>
          <w:sz w:val="24"/>
          <w:szCs w:val="24"/>
          <w:lang w:val="ro-RO"/>
        </w:rPr>
        <w:t>Anexa nr.3,  Statele de personal pentru instituția „Centrul de reabilitare și resurse pentru copii cu dizabilități „Luminița” , a Deciziei Consiliului raional Sîngerei nr.2/16 din 05.04.2012 Cu privire la înființarea instituției publice „Centrul de reabilitare și resurse pentru copii cu dizabilități „Luminița”  și aprobarea Regulamentului de organizare și funcționare;</w:t>
      </w:r>
    </w:p>
    <w:p w:rsidR="00E80ECE" w:rsidRPr="000F7457" w:rsidRDefault="00E80ECE" w:rsidP="00E80ECE">
      <w:pPr>
        <w:shd w:val="clear" w:color="auto" w:fill="FFFFFF"/>
        <w:spacing w:after="0" w:line="360" w:lineRule="auto"/>
        <w:ind w:left="1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0F7457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3.3.</w:t>
      </w:r>
      <w:r w:rsidRPr="000F745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Alin. (2) și (3) al pct.1 din Decizia Consiliului raional Sîngerei nr.3/6 din 03.05.2012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„</w:t>
      </w:r>
      <w:r w:rsidRPr="000F745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Cu privire la operarea modificărilor la decizia nr.2/16 din 05.04.2012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„</w:t>
      </w:r>
      <w:r w:rsidRPr="000F7457">
        <w:rPr>
          <w:rFonts w:ascii="Times New Roman" w:eastAsia="Times New Roman" w:hAnsi="Times New Roman" w:cs="Times New Roman"/>
          <w:sz w:val="24"/>
          <w:szCs w:val="24"/>
          <w:lang w:val="ro-RO"/>
        </w:rPr>
        <w:t>Cu privire la înființarea instituției publice „Centrul de reabilitare și resurse pentru copii cu dizabilități „Luminița”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””</w:t>
      </w:r>
      <w:r w:rsidRPr="000F745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și aprobarea Regulamentului de organizare și funcționare;</w:t>
      </w:r>
    </w:p>
    <w:p w:rsidR="00E80ECE" w:rsidRPr="000F7457" w:rsidRDefault="00E80ECE" w:rsidP="00E80ECE">
      <w:pPr>
        <w:tabs>
          <w:tab w:val="left" w:pos="9360"/>
        </w:tabs>
        <w:spacing w:after="0" w:line="360" w:lineRule="auto"/>
        <w:ind w:right="-7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7457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4</w:t>
      </w:r>
      <w:r w:rsidRPr="000F745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/>
        </w:rPr>
        <w:t>.</w:t>
      </w:r>
      <w:r w:rsidRPr="000F7457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0F745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Controlul realizării prezentei decizii, se pune în sarcina Comisiei consultative pentru învățămînt  cultură,  sport,  tineret, ocrotirea   sănătății, prob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leme sociale, turism și culte (d</w:t>
      </w:r>
      <w:r w:rsidRPr="000F745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 Ion Galus). </w:t>
      </w:r>
    </w:p>
    <w:p w:rsidR="00E80ECE" w:rsidRDefault="00E80ECE" w:rsidP="00E80ECE">
      <w:pPr>
        <w:tabs>
          <w:tab w:val="left" w:pos="9360"/>
        </w:tabs>
        <w:spacing w:after="0" w:line="360" w:lineRule="auto"/>
        <w:ind w:right="-7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F745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5.</w:t>
      </w:r>
      <w:r w:rsidRPr="000F745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Prezenta decizie </w:t>
      </w:r>
      <w:proofErr w:type="spellStart"/>
      <w:r w:rsidRPr="000F74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poate</w:t>
      </w:r>
      <w:proofErr w:type="spellEnd"/>
      <w:r w:rsidRPr="000F74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 </w:t>
      </w:r>
      <w:proofErr w:type="spellStart"/>
      <w:r w:rsidRPr="000F74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contestat</w:t>
      </w:r>
      <w:proofErr w:type="spellEnd"/>
      <w:r w:rsidRPr="000F745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ă la Judecătoria Bălți, str. Hotinului 43, în termen de 30 zile de la data comunicării, conform prevederilor Codului administrativ al Republicii Moldova nr.116/2018.</w:t>
      </w:r>
    </w:p>
    <w:p w:rsidR="008476E3" w:rsidRPr="000F7457" w:rsidRDefault="008476E3" w:rsidP="000F7457">
      <w:pPr>
        <w:tabs>
          <w:tab w:val="left" w:pos="9360"/>
        </w:tabs>
        <w:spacing w:after="0" w:line="360" w:lineRule="auto"/>
        <w:ind w:right="-7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bookmarkStart w:id="0" w:name="_GoBack"/>
      <w:bookmarkEnd w:id="0"/>
    </w:p>
    <w:p w:rsidR="008476E3" w:rsidRPr="00D408BC" w:rsidRDefault="008476E3" w:rsidP="008476E3">
      <w:pPr>
        <w:tabs>
          <w:tab w:val="left" w:pos="709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proofErr w:type="spellStart"/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Preşedintele</w:t>
      </w:r>
      <w:proofErr w:type="spellEnd"/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şedinţei</w:t>
      </w:r>
      <w:proofErr w:type="spellEnd"/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LUCA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Vasile</w:t>
      </w:r>
      <w:proofErr w:type="spellEnd"/>
    </w:p>
    <w:p w:rsidR="008476E3" w:rsidRPr="00D408BC" w:rsidRDefault="008476E3" w:rsidP="008476E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8476E3" w:rsidRPr="00D408BC" w:rsidRDefault="008476E3" w:rsidP="008476E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D408B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     </w:t>
      </w:r>
      <w:r w:rsidRPr="00D408B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D408B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  <w:t xml:space="preserve"> CONTRASEMNAT: </w:t>
      </w:r>
    </w:p>
    <w:p w:rsidR="008476E3" w:rsidRPr="00D408BC" w:rsidRDefault="008476E3" w:rsidP="008476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</w:t>
      </w:r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</w:t>
      </w:r>
      <w:proofErr w:type="spellStart"/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Secretar</w:t>
      </w:r>
      <w:proofErr w:type="spellEnd"/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al</w:t>
      </w:r>
    </w:p>
    <w:p w:rsidR="008476E3" w:rsidRPr="00D408BC" w:rsidRDefault="008476E3" w:rsidP="008476E3">
      <w:pPr>
        <w:tabs>
          <w:tab w:val="left" w:pos="2835"/>
          <w:tab w:val="left" w:pos="2970"/>
          <w:tab w:val="left" w:pos="31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</w:t>
      </w:r>
      <w:proofErr w:type="spellStart"/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Consiliului</w:t>
      </w:r>
      <w:proofErr w:type="spellEnd"/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raional</w:t>
      </w:r>
      <w:proofErr w:type="spellEnd"/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D408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TABARCEA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Vitalie</w:t>
      </w:r>
      <w:proofErr w:type="spellEnd"/>
    </w:p>
    <w:p w:rsidR="00D4235F" w:rsidRDefault="00D4235F" w:rsidP="00D4235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D4235F" w:rsidRPr="00E30842" w:rsidRDefault="00D4235F" w:rsidP="00D4235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E30842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Conform </w:t>
      </w:r>
      <w:proofErr w:type="spellStart"/>
      <w:r w:rsidRPr="00E30842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originalului</w:t>
      </w:r>
      <w:proofErr w:type="spellEnd"/>
      <w:r w:rsidRPr="00E30842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:</w:t>
      </w:r>
    </w:p>
    <w:p w:rsidR="00D4235F" w:rsidRPr="00E30842" w:rsidRDefault="00D4235F" w:rsidP="00D42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308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E308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E308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E308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Secretar</w:t>
      </w:r>
      <w:proofErr w:type="spellEnd"/>
      <w:r w:rsidRPr="00E308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al</w:t>
      </w:r>
    </w:p>
    <w:p w:rsidR="00D4235F" w:rsidRPr="00E30842" w:rsidRDefault="00D4235F" w:rsidP="00D4235F">
      <w:pPr>
        <w:tabs>
          <w:tab w:val="left" w:pos="2835"/>
          <w:tab w:val="left" w:pos="2970"/>
          <w:tab w:val="left" w:pos="3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08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</w:t>
      </w:r>
      <w:r w:rsidRPr="00E308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</w:t>
      </w:r>
      <w:proofErr w:type="spellStart"/>
      <w:r w:rsidRPr="00E308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Consili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ului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raional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</w:t>
      </w:r>
      <w:r w:rsidRPr="00E308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TABARCEA </w:t>
      </w:r>
      <w:proofErr w:type="spellStart"/>
      <w:r w:rsidRPr="00E308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Vitalie</w:t>
      </w:r>
      <w:proofErr w:type="spellEnd"/>
    </w:p>
    <w:p w:rsidR="00D4235F" w:rsidRPr="00E30842" w:rsidRDefault="00D4235F" w:rsidP="00D42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4235F" w:rsidRDefault="00D4235F" w:rsidP="00D4235F">
      <w:pPr>
        <w:tabs>
          <w:tab w:val="left" w:pos="1100"/>
        </w:tabs>
        <w:spacing w:after="0" w:line="240" w:lineRule="auto"/>
        <w:rPr>
          <w:lang w:val="ro-RO"/>
        </w:rPr>
      </w:pPr>
    </w:p>
    <w:p w:rsidR="008476E3" w:rsidRPr="00D4235F" w:rsidRDefault="008476E3" w:rsidP="008476E3">
      <w:pPr>
        <w:rPr>
          <w:lang w:val="ro-RO"/>
        </w:rPr>
      </w:pPr>
    </w:p>
    <w:p w:rsidR="000F7457" w:rsidRPr="008476E3" w:rsidRDefault="000F7457" w:rsidP="000F745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F7457" w:rsidRPr="00847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7477A"/>
    <w:multiLevelType w:val="hybridMultilevel"/>
    <w:tmpl w:val="A540F0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457"/>
    <w:rsid w:val="000F7457"/>
    <w:rsid w:val="004702D4"/>
    <w:rsid w:val="00714345"/>
    <w:rsid w:val="007B1B3F"/>
    <w:rsid w:val="008476E3"/>
    <w:rsid w:val="00AB2738"/>
    <w:rsid w:val="00D4235F"/>
    <w:rsid w:val="00E8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B8711"/>
  <w15:chartTrackingRefBased/>
  <w15:docId w15:val="{863BF86A-43CA-4C94-AC00-7137F706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7</cp:revision>
  <dcterms:created xsi:type="dcterms:W3CDTF">2021-05-17T12:51:00Z</dcterms:created>
  <dcterms:modified xsi:type="dcterms:W3CDTF">2021-05-19T07:17:00Z</dcterms:modified>
</cp:coreProperties>
</file>