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text" w:horzAnchor="margin" w:tblpY="-5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81"/>
        <w:gridCol w:w="3889"/>
      </w:tblGrid>
      <w:tr w:rsidR="002D055B" w:rsidRPr="002D055B" w:rsidTr="00C22C8D">
        <w:trPr>
          <w:trHeight w:val="1560"/>
        </w:trPr>
        <w:tc>
          <w:tcPr>
            <w:tcW w:w="3969" w:type="dxa"/>
            <w:tcBorders>
              <w:top w:val="nil"/>
              <w:left w:val="nil"/>
              <w:bottom w:val="thinThickSmallGap" w:sz="24" w:space="0" w:color="auto"/>
              <w:right w:val="nil"/>
            </w:tcBorders>
          </w:tcPr>
          <w:p w:rsidR="002D055B" w:rsidRPr="002D055B" w:rsidRDefault="002D055B" w:rsidP="002D055B">
            <w:pPr>
              <w:keepNext/>
              <w:spacing w:after="0" w:line="276" w:lineRule="auto"/>
              <w:jc w:val="center"/>
              <w:outlineLvl w:val="0"/>
              <w:rPr>
                <w:rFonts w:ascii="Times New Roman" w:eastAsia="Times New Roman" w:hAnsi="Times New Roman"/>
                <w:b/>
                <w:sz w:val="24"/>
                <w:szCs w:val="20"/>
                <w:lang w:val="ro-RO" w:eastAsia="ru-RU"/>
              </w:rPr>
            </w:pPr>
            <w:r w:rsidRPr="002D055B">
              <w:rPr>
                <w:rFonts w:ascii="Times New Roman" w:eastAsia="Times New Roman" w:hAnsi="Times New Roman"/>
                <w:b/>
                <w:sz w:val="24"/>
                <w:szCs w:val="20"/>
                <w:lang w:val="ro-RO" w:eastAsia="ru-RU"/>
              </w:rPr>
              <w:t>REPUBLICA  MOLDOVA</w:t>
            </w:r>
          </w:p>
          <w:p w:rsidR="002D055B" w:rsidRPr="002D055B" w:rsidRDefault="002D055B" w:rsidP="002D055B">
            <w:pPr>
              <w:keepNext/>
              <w:spacing w:after="0" w:line="276" w:lineRule="auto"/>
              <w:ind w:right="-108"/>
              <w:jc w:val="center"/>
              <w:outlineLvl w:val="0"/>
              <w:rPr>
                <w:rFonts w:ascii="Times New Roman" w:eastAsia="Times New Roman" w:hAnsi="Times New Roman"/>
                <w:b/>
                <w:sz w:val="16"/>
                <w:szCs w:val="16"/>
                <w:lang w:val="ro-RO" w:eastAsia="ru-RU"/>
              </w:rPr>
            </w:pPr>
          </w:p>
          <w:p w:rsidR="002D055B" w:rsidRPr="002D055B" w:rsidRDefault="002D055B" w:rsidP="002D055B">
            <w:pPr>
              <w:keepNext/>
              <w:spacing w:after="0" w:line="276" w:lineRule="auto"/>
              <w:jc w:val="center"/>
              <w:outlineLvl w:val="0"/>
              <w:rPr>
                <w:rFonts w:ascii="Times New Roman" w:eastAsia="Times New Roman" w:hAnsi="Times New Roman"/>
                <w:b/>
                <w:sz w:val="24"/>
                <w:szCs w:val="20"/>
                <w:lang w:val="ro-RO" w:eastAsia="ru-RU"/>
              </w:rPr>
            </w:pPr>
            <w:r w:rsidRPr="002D055B">
              <w:rPr>
                <w:rFonts w:ascii="Times New Roman" w:eastAsia="Times New Roman" w:hAnsi="Times New Roman"/>
                <w:b/>
                <w:sz w:val="24"/>
                <w:szCs w:val="20"/>
                <w:lang w:val="ro-RO" w:eastAsia="ru-RU"/>
              </w:rPr>
              <w:t>CONSILIUL  RAIONAL</w:t>
            </w:r>
          </w:p>
          <w:p w:rsidR="002D055B" w:rsidRPr="002D055B" w:rsidRDefault="002D055B" w:rsidP="002D055B">
            <w:pPr>
              <w:spacing w:after="0" w:line="276" w:lineRule="auto"/>
              <w:jc w:val="center"/>
              <w:rPr>
                <w:rFonts w:ascii="Times New Roman" w:eastAsia="Times New Roman" w:hAnsi="Times New Roman"/>
                <w:b/>
                <w:sz w:val="24"/>
                <w:szCs w:val="24"/>
                <w:lang w:val="en-US" w:eastAsia="ru-RU"/>
              </w:rPr>
            </w:pPr>
            <w:r w:rsidRPr="002D055B">
              <w:rPr>
                <w:rFonts w:ascii="Times New Roman" w:eastAsia="Times New Roman" w:hAnsi="Times New Roman"/>
                <w:b/>
                <w:sz w:val="24"/>
                <w:szCs w:val="24"/>
                <w:lang w:val="en-US" w:eastAsia="ru-RU"/>
              </w:rPr>
              <w:t>S</w:t>
            </w:r>
            <w:r w:rsidRPr="002D055B">
              <w:rPr>
                <w:rFonts w:ascii="Times New Roman" w:eastAsia="Times New Roman" w:hAnsi="Times New Roman"/>
                <w:b/>
                <w:sz w:val="24"/>
                <w:szCs w:val="24"/>
                <w:lang w:val="ro-RO" w:eastAsia="ru-RU"/>
              </w:rPr>
              <w:t>ÎNGEREI</w:t>
            </w:r>
          </w:p>
        </w:tc>
        <w:tc>
          <w:tcPr>
            <w:tcW w:w="1781" w:type="dxa"/>
            <w:tcBorders>
              <w:top w:val="nil"/>
              <w:left w:val="nil"/>
              <w:bottom w:val="thinThickSmallGap" w:sz="24" w:space="0" w:color="auto"/>
              <w:right w:val="nil"/>
            </w:tcBorders>
          </w:tcPr>
          <w:p w:rsidR="002D055B" w:rsidRPr="002D055B" w:rsidRDefault="002D055B" w:rsidP="002D055B">
            <w:pPr>
              <w:spacing w:after="0" w:line="276" w:lineRule="auto"/>
              <w:ind w:left="-509" w:firstLine="509"/>
              <w:jc w:val="center"/>
              <w:rPr>
                <w:rFonts w:ascii="Times New Roman" w:eastAsia="Times New Roman" w:hAnsi="Times New Roman"/>
                <w:b/>
                <w:sz w:val="20"/>
                <w:szCs w:val="20"/>
                <w:lang w:val="en-US" w:eastAsia="ru-RU"/>
              </w:rPr>
            </w:pPr>
            <w:r w:rsidRPr="002D055B">
              <w:rPr>
                <w:rFonts w:ascii="Times New Roman" w:eastAsia="Times New Roman" w:hAnsi="Times New Roman"/>
                <w:b/>
                <w:noProof/>
                <w:sz w:val="24"/>
                <w:szCs w:val="24"/>
                <w:lang w:eastAsia="ru-RU"/>
              </w:rPr>
              <w:drawing>
                <wp:inline distT="0" distB="0" distL="0" distR="0" wp14:anchorId="1ECFCB9C" wp14:editId="24C2DF83">
                  <wp:extent cx="647700" cy="8286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828675"/>
                          </a:xfrm>
                          <a:prstGeom prst="rect">
                            <a:avLst/>
                          </a:prstGeom>
                          <a:noFill/>
                          <a:ln>
                            <a:noFill/>
                          </a:ln>
                        </pic:spPr>
                      </pic:pic>
                    </a:graphicData>
                  </a:graphic>
                </wp:inline>
              </w:drawing>
            </w:r>
          </w:p>
        </w:tc>
        <w:tc>
          <w:tcPr>
            <w:tcW w:w="3889" w:type="dxa"/>
            <w:tcBorders>
              <w:top w:val="nil"/>
              <w:left w:val="nil"/>
              <w:bottom w:val="thinThickSmallGap" w:sz="24" w:space="0" w:color="auto"/>
              <w:right w:val="nil"/>
            </w:tcBorders>
          </w:tcPr>
          <w:p w:rsidR="002D055B" w:rsidRPr="002D055B" w:rsidRDefault="002D055B" w:rsidP="002D055B">
            <w:pPr>
              <w:keepNext/>
              <w:spacing w:after="0" w:line="276" w:lineRule="auto"/>
              <w:jc w:val="center"/>
              <w:outlineLvl w:val="0"/>
              <w:rPr>
                <w:rFonts w:ascii="Times New Roman" w:eastAsia="Times New Roman" w:hAnsi="Times New Roman"/>
                <w:b/>
                <w:sz w:val="24"/>
                <w:szCs w:val="20"/>
                <w:lang w:eastAsia="ru-RU"/>
              </w:rPr>
            </w:pPr>
            <w:r w:rsidRPr="002D055B">
              <w:rPr>
                <w:rFonts w:ascii="Times New Roman" w:eastAsia="Times New Roman" w:hAnsi="Times New Roman"/>
                <w:b/>
                <w:sz w:val="24"/>
                <w:szCs w:val="20"/>
                <w:lang w:eastAsia="ru-RU"/>
              </w:rPr>
              <w:t>РЕСПУБЛИКА МОЛДОВА</w:t>
            </w:r>
          </w:p>
          <w:p w:rsidR="002D055B" w:rsidRPr="002D055B" w:rsidRDefault="002D055B" w:rsidP="002D055B">
            <w:pPr>
              <w:spacing w:after="0" w:line="276" w:lineRule="auto"/>
              <w:jc w:val="center"/>
              <w:rPr>
                <w:rFonts w:ascii="Times New Roman" w:eastAsia="Times New Roman" w:hAnsi="Times New Roman"/>
                <w:b/>
                <w:sz w:val="16"/>
                <w:szCs w:val="16"/>
                <w:lang w:val="ro-RO" w:eastAsia="ru-RU"/>
              </w:rPr>
            </w:pPr>
          </w:p>
          <w:p w:rsidR="002D055B" w:rsidRPr="002D055B" w:rsidRDefault="002D055B" w:rsidP="002D055B">
            <w:pPr>
              <w:spacing w:after="0" w:line="276" w:lineRule="auto"/>
              <w:jc w:val="center"/>
              <w:rPr>
                <w:rFonts w:ascii="Times New Roman" w:eastAsia="Times New Roman" w:hAnsi="Times New Roman"/>
                <w:b/>
                <w:sz w:val="24"/>
                <w:szCs w:val="24"/>
                <w:lang w:val="ro-RO" w:eastAsia="ru-RU"/>
              </w:rPr>
            </w:pPr>
            <w:r w:rsidRPr="002D055B">
              <w:rPr>
                <w:rFonts w:ascii="Times New Roman" w:eastAsia="Times New Roman" w:hAnsi="Times New Roman"/>
                <w:b/>
                <w:sz w:val="24"/>
                <w:szCs w:val="24"/>
                <w:lang w:val="ro-RO" w:eastAsia="ru-RU"/>
              </w:rPr>
              <w:t>СЫНДЖЕРЕЙСКИЙ</w:t>
            </w:r>
          </w:p>
          <w:p w:rsidR="002D055B" w:rsidRPr="002D055B" w:rsidRDefault="002D055B" w:rsidP="002D055B">
            <w:pPr>
              <w:spacing w:after="0" w:line="276" w:lineRule="auto"/>
              <w:jc w:val="center"/>
              <w:rPr>
                <w:rFonts w:ascii="Times New Roman" w:eastAsia="Times New Roman" w:hAnsi="Times New Roman"/>
                <w:b/>
                <w:sz w:val="24"/>
                <w:szCs w:val="24"/>
                <w:lang w:val="ro-RO" w:eastAsia="ru-RU"/>
              </w:rPr>
            </w:pPr>
            <w:r w:rsidRPr="002D055B">
              <w:rPr>
                <w:rFonts w:ascii="Times New Roman" w:eastAsia="Times New Roman" w:hAnsi="Times New Roman"/>
                <w:b/>
                <w:sz w:val="24"/>
                <w:szCs w:val="24"/>
                <w:lang w:val="ro-RO" w:eastAsia="ru-RU"/>
              </w:rPr>
              <w:t>РАЙОННЫЙ СОВЕТ</w:t>
            </w:r>
          </w:p>
        </w:tc>
      </w:tr>
    </w:tbl>
    <w:p w:rsidR="00C22C8D" w:rsidRPr="00C22C8D" w:rsidRDefault="00C22C8D" w:rsidP="00C22C8D">
      <w:pPr>
        <w:spacing w:after="0" w:line="240" w:lineRule="auto"/>
        <w:jc w:val="right"/>
        <w:rPr>
          <w:rFonts w:ascii="Times New Roman" w:eastAsia="Times New Roman" w:hAnsi="Times New Roman"/>
          <w:b/>
          <w:sz w:val="24"/>
          <w:szCs w:val="24"/>
          <w:lang w:val="ro-RO" w:eastAsia="ru-RU"/>
        </w:rPr>
      </w:pPr>
      <w:r>
        <w:rPr>
          <w:rFonts w:ascii="Times New Roman" w:eastAsia="Times New Roman" w:hAnsi="Times New Roman"/>
          <w:b/>
          <w:sz w:val="24"/>
          <w:szCs w:val="24"/>
          <w:lang w:val="ro-RO" w:eastAsia="ru-RU"/>
        </w:rPr>
        <w:t>EXTRAS</w:t>
      </w:r>
    </w:p>
    <w:p w:rsidR="002D055B" w:rsidRPr="002D055B" w:rsidRDefault="002D055B" w:rsidP="002D055B">
      <w:pPr>
        <w:spacing w:after="0" w:line="240" w:lineRule="auto"/>
        <w:jc w:val="center"/>
        <w:rPr>
          <w:rFonts w:ascii="Times New Roman" w:eastAsia="Times New Roman" w:hAnsi="Times New Roman"/>
          <w:b/>
          <w:sz w:val="24"/>
          <w:szCs w:val="24"/>
          <w:lang w:val="en-US" w:eastAsia="ru-RU"/>
        </w:rPr>
      </w:pPr>
      <w:r w:rsidRPr="002D055B">
        <w:rPr>
          <w:rFonts w:ascii="Times New Roman" w:eastAsia="Times New Roman" w:hAnsi="Times New Roman"/>
          <w:b/>
          <w:sz w:val="24"/>
          <w:szCs w:val="24"/>
          <w:lang w:val="en-US" w:eastAsia="ru-RU"/>
        </w:rPr>
        <w:t xml:space="preserve">DECIZIE </w:t>
      </w:r>
      <w:proofErr w:type="spellStart"/>
      <w:r w:rsidRPr="002D055B">
        <w:rPr>
          <w:rFonts w:ascii="Times New Roman" w:eastAsia="Times New Roman" w:hAnsi="Times New Roman"/>
          <w:b/>
          <w:sz w:val="24"/>
          <w:szCs w:val="24"/>
          <w:lang w:val="en-US" w:eastAsia="ru-RU"/>
        </w:rPr>
        <w:t>Nr</w:t>
      </w:r>
      <w:proofErr w:type="spellEnd"/>
      <w:r w:rsidRPr="002D055B">
        <w:rPr>
          <w:rFonts w:ascii="Times New Roman" w:eastAsia="Times New Roman" w:hAnsi="Times New Roman"/>
          <w:b/>
          <w:sz w:val="24"/>
          <w:szCs w:val="24"/>
          <w:lang w:val="en-US" w:eastAsia="ru-RU"/>
        </w:rPr>
        <w:t>. 2/1</w:t>
      </w:r>
      <w:r>
        <w:rPr>
          <w:rFonts w:ascii="Times New Roman" w:eastAsia="Times New Roman" w:hAnsi="Times New Roman"/>
          <w:b/>
          <w:sz w:val="24"/>
          <w:szCs w:val="24"/>
          <w:lang w:val="en-US" w:eastAsia="ru-RU"/>
        </w:rPr>
        <w:t>5</w:t>
      </w:r>
    </w:p>
    <w:p w:rsidR="002D055B" w:rsidRPr="002D055B" w:rsidRDefault="002D055B" w:rsidP="002D055B">
      <w:pPr>
        <w:spacing w:after="0" w:line="240" w:lineRule="auto"/>
        <w:jc w:val="center"/>
        <w:rPr>
          <w:rFonts w:ascii="Times New Roman" w:eastAsia="Times New Roman" w:hAnsi="Times New Roman"/>
          <w:b/>
          <w:sz w:val="24"/>
          <w:szCs w:val="24"/>
          <w:lang w:val="en-US" w:eastAsia="ru-RU"/>
        </w:rPr>
      </w:pPr>
      <w:proofErr w:type="gramStart"/>
      <w:r w:rsidRPr="002D055B">
        <w:rPr>
          <w:rFonts w:ascii="Times New Roman" w:eastAsia="Times New Roman" w:hAnsi="Times New Roman"/>
          <w:b/>
          <w:sz w:val="24"/>
          <w:szCs w:val="24"/>
          <w:lang w:val="en-US" w:eastAsia="ru-RU"/>
        </w:rPr>
        <w:t>din</w:t>
      </w:r>
      <w:proofErr w:type="gramEnd"/>
      <w:r w:rsidRPr="002D055B">
        <w:rPr>
          <w:rFonts w:ascii="Times New Roman" w:eastAsia="Times New Roman" w:hAnsi="Times New Roman"/>
          <w:b/>
          <w:sz w:val="24"/>
          <w:szCs w:val="24"/>
          <w:lang w:val="en-US" w:eastAsia="ru-RU"/>
        </w:rPr>
        <w:t xml:space="preserve"> 30 </w:t>
      </w:r>
      <w:proofErr w:type="spellStart"/>
      <w:r w:rsidRPr="002D055B">
        <w:rPr>
          <w:rFonts w:ascii="Times New Roman" w:eastAsia="Times New Roman" w:hAnsi="Times New Roman"/>
          <w:b/>
          <w:sz w:val="24"/>
          <w:szCs w:val="24"/>
          <w:lang w:val="en-US" w:eastAsia="ru-RU"/>
        </w:rPr>
        <w:t>martie</w:t>
      </w:r>
      <w:proofErr w:type="spellEnd"/>
      <w:r w:rsidRPr="002D055B">
        <w:rPr>
          <w:rFonts w:ascii="Times New Roman" w:eastAsia="Times New Roman" w:hAnsi="Times New Roman"/>
          <w:b/>
          <w:sz w:val="24"/>
          <w:szCs w:val="24"/>
          <w:lang w:val="en-US" w:eastAsia="ru-RU"/>
        </w:rPr>
        <w:t xml:space="preserve"> 2026</w:t>
      </w:r>
    </w:p>
    <w:p w:rsidR="002D055B" w:rsidRPr="002D055B" w:rsidRDefault="002D055B" w:rsidP="002D055B">
      <w:pPr>
        <w:spacing w:after="0" w:line="240" w:lineRule="auto"/>
        <w:jc w:val="center"/>
        <w:rPr>
          <w:rFonts w:ascii="Times New Roman" w:eastAsia="Times New Roman" w:hAnsi="Times New Roman"/>
          <w:b/>
          <w:sz w:val="24"/>
          <w:szCs w:val="24"/>
          <w:lang w:val="en-US" w:eastAsia="ru-RU"/>
        </w:rPr>
      </w:pPr>
      <w:proofErr w:type="gramStart"/>
      <w:r w:rsidRPr="002D055B">
        <w:rPr>
          <w:rFonts w:ascii="Times New Roman" w:eastAsia="Times New Roman" w:hAnsi="Times New Roman"/>
          <w:b/>
          <w:sz w:val="24"/>
          <w:szCs w:val="24"/>
          <w:lang w:val="en-US" w:eastAsia="ru-RU"/>
        </w:rPr>
        <w:t>or</w:t>
      </w:r>
      <w:proofErr w:type="gramEnd"/>
      <w:r w:rsidRPr="002D055B">
        <w:rPr>
          <w:rFonts w:ascii="Times New Roman" w:eastAsia="Times New Roman" w:hAnsi="Times New Roman"/>
          <w:b/>
          <w:sz w:val="24"/>
          <w:szCs w:val="24"/>
          <w:lang w:val="en-US" w:eastAsia="ru-RU"/>
        </w:rPr>
        <w:t xml:space="preserve">. </w:t>
      </w:r>
      <w:proofErr w:type="spellStart"/>
      <w:r w:rsidRPr="002D055B">
        <w:rPr>
          <w:rFonts w:ascii="Times New Roman" w:eastAsia="Times New Roman" w:hAnsi="Times New Roman"/>
          <w:b/>
          <w:sz w:val="24"/>
          <w:szCs w:val="24"/>
          <w:lang w:val="en-US" w:eastAsia="ru-RU"/>
        </w:rPr>
        <w:t>Sîngerei</w:t>
      </w:r>
      <w:proofErr w:type="spellEnd"/>
    </w:p>
    <w:p w:rsidR="002D055B" w:rsidRPr="002D055B" w:rsidRDefault="002D055B" w:rsidP="002D055B">
      <w:pPr>
        <w:tabs>
          <w:tab w:val="left" w:pos="709"/>
        </w:tabs>
        <w:spacing w:after="0" w:line="240" w:lineRule="auto"/>
        <w:jc w:val="both"/>
        <w:rPr>
          <w:rFonts w:ascii="Times New Roman" w:eastAsia="Times New Roman" w:hAnsi="Times New Roman"/>
          <w:sz w:val="20"/>
          <w:szCs w:val="24"/>
          <w:lang w:val="ro-RO" w:eastAsia="ru-RU"/>
        </w:rPr>
      </w:pPr>
      <w:r w:rsidRPr="002D055B">
        <w:rPr>
          <w:rFonts w:ascii="Times New Roman" w:eastAsia="Times New Roman" w:hAnsi="Times New Roman"/>
          <w:sz w:val="20"/>
          <w:szCs w:val="24"/>
          <w:lang w:val="ro-RO" w:eastAsia="ru-RU"/>
        </w:rPr>
        <w:tab/>
      </w:r>
    </w:p>
    <w:p w:rsidR="00CD7BCA" w:rsidRPr="002D055B" w:rsidRDefault="00CD7BCA" w:rsidP="00C22C8D">
      <w:pPr>
        <w:spacing w:after="0" w:line="276" w:lineRule="auto"/>
        <w:contextualSpacing/>
        <w:rPr>
          <w:rFonts w:ascii="Times New Roman" w:eastAsia="Times New Roman" w:hAnsi="Times New Roman"/>
          <w:b/>
          <w:sz w:val="24"/>
          <w:lang w:val="ro-MD" w:eastAsia="ru-RU"/>
        </w:rPr>
      </w:pPr>
      <w:r w:rsidRPr="002D055B">
        <w:rPr>
          <w:rFonts w:ascii="Times New Roman" w:eastAsia="Times New Roman" w:hAnsi="Times New Roman"/>
          <w:b/>
          <w:sz w:val="24"/>
          <w:lang w:val="ro-MD" w:eastAsia="ru-RU"/>
        </w:rPr>
        <w:t xml:space="preserve">Privind </w:t>
      </w:r>
      <w:r w:rsidR="00260A1C" w:rsidRPr="002D055B">
        <w:rPr>
          <w:rFonts w:ascii="Times New Roman" w:eastAsia="Times New Roman" w:hAnsi="Times New Roman"/>
          <w:b/>
          <w:sz w:val="24"/>
          <w:lang w:val="ro-MD" w:eastAsia="ru-RU"/>
        </w:rPr>
        <w:t xml:space="preserve">modificarea și completarea Deciziei nr. 7/6 din 10.12.2021 </w:t>
      </w:r>
    </w:p>
    <w:p w:rsidR="00CD7BCA" w:rsidRPr="002D055B" w:rsidRDefault="00CD7BCA" w:rsidP="00C22C8D">
      <w:pPr>
        <w:spacing w:after="0" w:line="276" w:lineRule="auto"/>
        <w:contextualSpacing/>
        <w:rPr>
          <w:rFonts w:ascii="Times New Roman" w:eastAsia="Times New Roman" w:hAnsi="Times New Roman"/>
          <w:b/>
          <w:sz w:val="24"/>
          <w:lang w:val="ro-MD" w:eastAsia="ru-RU"/>
        </w:rPr>
      </w:pPr>
      <w:r w:rsidRPr="002D055B">
        <w:rPr>
          <w:rFonts w:ascii="Times New Roman" w:eastAsia="Times New Roman" w:hAnsi="Times New Roman"/>
          <w:b/>
          <w:sz w:val="24"/>
          <w:lang w:val="ro-MD" w:eastAsia="ru-RU"/>
        </w:rPr>
        <w:t>,,</w:t>
      </w:r>
      <w:r w:rsidR="00260A1C" w:rsidRPr="002D055B">
        <w:rPr>
          <w:rFonts w:ascii="Times New Roman" w:eastAsia="Times New Roman" w:hAnsi="Times New Roman"/>
          <w:b/>
          <w:sz w:val="24"/>
          <w:lang w:val="ro-MD" w:eastAsia="ru-RU"/>
        </w:rPr>
        <w:t>Cu privire la aprobarea Strategiei de dezvoltare socio-economică a raionului Sîngerei</w:t>
      </w:r>
    </w:p>
    <w:p w:rsidR="00260A1C" w:rsidRPr="002D055B" w:rsidRDefault="00260A1C" w:rsidP="00C22C8D">
      <w:pPr>
        <w:spacing w:after="0" w:line="276" w:lineRule="auto"/>
        <w:contextualSpacing/>
        <w:rPr>
          <w:rFonts w:ascii="Times New Roman" w:eastAsia="Times New Roman" w:hAnsi="Times New Roman"/>
          <w:b/>
          <w:sz w:val="24"/>
          <w:lang w:val="ro-MD" w:eastAsia="ru-RU"/>
        </w:rPr>
      </w:pPr>
      <w:r w:rsidRPr="002D055B">
        <w:rPr>
          <w:rFonts w:ascii="Times New Roman" w:eastAsia="Times New Roman" w:hAnsi="Times New Roman"/>
          <w:b/>
          <w:sz w:val="24"/>
          <w:lang w:val="ro-MD" w:eastAsia="ru-RU"/>
        </w:rPr>
        <w:t>pentru perioada anilor 2021-2028</w:t>
      </w:r>
      <w:r w:rsidR="00CD7BCA" w:rsidRPr="002D055B">
        <w:rPr>
          <w:rFonts w:ascii="Times New Roman" w:eastAsia="Times New Roman" w:hAnsi="Times New Roman"/>
          <w:b/>
          <w:sz w:val="24"/>
          <w:lang w:val="ro-MD" w:eastAsia="ru-RU"/>
        </w:rPr>
        <w:t>”</w:t>
      </w:r>
    </w:p>
    <w:p w:rsidR="00260A1C" w:rsidRPr="002D055B" w:rsidRDefault="00260A1C" w:rsidP="00C22C8D">
      <w:pPr>
        <w:spacing w:after="0" w:line="276" w:lineRule="auto"/>
        <w:ind w:left="-284"/>
        <w:contextualSpacing/>
        <w:jc w:val="center"/>
        <w:rPr>
          <w:rFonts w:ascii="Times New Roman" w:eastAsia="Times New Roman" w:hAnsi="Times New Roman"/>
          <w:b/>
          <w:bCs/>
          <w:sz w:val="24"/>
          <w:lang w:val="ro-MD" w:eastAsia="ru-RU"/>
        </w:rPr>
      </w:pPr>
    </w:p>
    <w:p w:rsidR="00260A1C" w:rsidRPr="002D055B" w:rsidRDefault="00CD7BCA" w:rsidP="00C22C8D">
      <w:pPr>
        <w:spacing w:after="0" w:line="276" w:lineRule="auto"/>
        <w:ind w:firstLine="567"/>
        <w:contextualSpacing/>
        <w:jc w:val="both"/>
        <w:rPr>
          <w:rFonts w:ascii="Times New Roman" w:eastAsia="Times New Roman" w:hAnsi="Times New Roman"/>
          <w:sz w:val="24"/>
          <w:lang w:val="en-US" w:eastAsia="ru-RU"/>
        </w:rPr>
      </w:pPr>
      <w:r w:rsidRPr="002D055B">
        <w:rPr>
          <w:rFonts w:ascii="Times New Roman" w:eastAsia="Times New Roman" w:hAnsi="Times New Roman"/>
          <w:sz w:val="24"/>
          <w:lang w:val="ro-MD" w:eastAsia="ru-RU"/>
        </w:rPr>
        <w:t>Avâ</w:t>
      </w:r>
      <w:r w:rsidR="00260A1C" w:rsidRPr="002D055B">
        <w:rPr>
          <w:rFonts w:ascii="Times New Roman" w:eastAsia="Times New Roman" w:hAnsi="Times New Roman"/>
          <w:sz w:val="24"/>
          <w:lang w:val="ro-MD" w:eastAsia="ru-RU"/>
        </w:rPr>
        <w:t>nd în vedere</w:t>
      </w:r>
      <w:r w:rsidRPr="002D055B">
        <w:rPr>
          <w:rFonts w:ascii="Times New Roman" w:eastAsia="Times New Roman" w:hAnsi="Times New Roman"/>
          <w:sz w:val="24"/>
          <w:lang w:val="ro-MD" w:eastAsia="ru-RU"/>
        </w:rPr>
        <w:t>:</w:t>
      </w:r>
      <w:r w:rsidR="00260A1C" w:rsidRPr="002D055B">
        <w:rPr>
          <w:rFonts w:ascii="Times New Roman" w:eastAsia="Times New Roman" w:hAnsi="Times New Roman"/>
          <w:sz w:val="24"/>
          <w:lang w:val="ro-MD" w:eastAsia="ru-RU"/>
        </w:rPr>
        <w:t xml:space="preserve"> </w:t>
      </w:r>
      <w:r w:rsidRPr="002D055B">
        <w:rPr>
          <w:rFonts w:ascii="Times New Roman" w:eastAsia="Times New Roman" w:hAnsi="Times New Roman"/>
          <w:sz w:val="24"/>
          <w:lang w:val="ro-MD" w:eastAsia="ru-RU"/>
        </w:rPr>
        <w:t>N</w:t>
      </w:r>
      <w:r w:rsidR="00260A1C" w:rsidRPr="002D055B">
        <w:rPr>
          <w:rFonts w:ascii="Times New Roman" w:eastAsia="Times New Roman" w:hAnsi="Times New Roman"/>
          <w:sz w:val="24"/>
          <w:lang w:val="ro-MD" w:eastAsia="ru-RU"/>
        </w:rPr>
        <w:t xml:space="preserve">ota de fundamentare </w:t>
      </w:r>
      <w:r w:rsidRPr="002D055B">
        <w:rPr>
          <w:rFonts w:ascii="Times New Roman" w:eastAsia="Times New Roman" w:hAnsi="Times New Roman"/>
          <w:sz w:val="24"/>
          <w:lang w:val="en-US" w:eastAsia="ru-RU"/>
        </w:rPr>
        <w:t>p</w:t>
      </w:r>
      <w:r w:rsidRPr="002D055B">
        <w:rPr>
          <w:rFonts w:ascii="Times New Roman" w:eastAsia="Times New Roman" w:hAnsi="Times New Roman"/>
          <w:sz w:val="24"/>
          <w:lang w:val="ro-MD" w:eastAsia="ru-RU"/>
        </w:rPr>
        <w:t>rivind</w:t>
      </w:r>
      <w:r w:rsidR="00260A1C" w:rsidRPr="002D055B">
        <w:rPr>
          <w:rFonts w:ascii="Times New Roman" w:eastAsia="Times New Roman" w:hAnsi="Times New Roman"/>
          <w:sz w:val="24"/>
          <w:lang w:val="ro-MD" w:eastAsia="ru-RU"/>
        </w:rPr>
        <w:t xml:space="preserve"> modificarea și completarea Dec</w:t>
      </w:r>
      <w:r w:rsidRPr="002D055B">
        <w:rPr>
          <w:rFonts w:ascii="Times New Roman" w:eastAsia="Times New Roman" w:hAnsi="Times New Roman"/>
          <w:sz w:val="24"/>
          <w:lang w:val="ro-MD" w:eastAsia="ru-RU"/>
        </w:rPr>
        <w:t>iziei nr. 7/6 din 10.12.2021 ,,</w:t>
      </w:r>
      <w:r w:rsidR="00260A1C" w:rsidRPr="002D055B">
        <w:rPr>
          <w:rFonts w:ascii="Times New Roman" w:eastAsia="Times New Roman" w:hAnsi="Times New Roman"/>
          <w:sz w:val="24"/>
          <w:lang w:val="ro-MD" w:eastAsia="ru-RU"/>
        </w:rPr>
        <w:t>Cu privire la aprobarea Strategiei de dezvoltare socio-economică a raionului Sîngerei pentru perioada anilor 2021-2028</w:t>
      </w:r>
      <w:r w:rsidR="00260A1C" w:rsidRPr="002D055B">
        <w:rPr>
          <w:rFonts w:ascii="Times New Roman" w:eastAsia="Times New Roman" w:hAnsi="Times New Roman"/>
          <w:sz w:val="24"/>
          <w:lang w:val="en-US" w:eastAsia="ru-RU"/>
        </w:rPr>
        <w:t>”</w:t>
      </w:r>
      <w:r w:rsidRPr="002D055B">
        <w:rPr>
          <w:rFonts w:ascii="Times New Roman" w:eastAsia="Times New Roman" w:hAnsi="Times New Roman"/>
          <w:sz w:val="24"/>
          <w:lang w:val="en-US" w:eastAsia="ru-RU"/>
        </w:rPr>
        <w:t>;</w:t>
      </w:r>
    </w:p>
    <w:p w:rsidR="00C22C8D" w:rsidRDefault="00260A1C" w:rsidP="00C22C8D">
      <w:pPr>
        <w:spacing w:after="0" w:line="276" w:lineRule="auto"/>
        <w:ind w:firstLine="567"/>
        <w:contextualSpacing/>
        <w:jc w:val="both"/>
        <w:rPr>
          <w:rFonts w:ascii="Times New Roman" w:eastAsia="Times New Roman" w:hAnsi="Times New Roman"/>
          <w:sz w:val="24"/>
          <w:lang w:val="en-US" w:eastAsia="ru-RU"/>
        </w:rPr>
      </w:pPr>
      <w:proofErr w:type="spellStart"/>
      <w:r w:rsidRPr="002D055B">
        <w:rPr>
          <w:rFonts w:ascii="Times New Roman" w:eastAsia="Times New Roman" w:hAnsi="Times New Roman"/>
          <w:sz w:val="24"/>
          <w:lang w:val="en-US" w:eastAsia="ru-RU"/>
        </w:rPr>
        <w:t>În</w:t>
      </w:r>
      <w:proofErr w:type="spellEnd"/>
      <w:r w:rsidRPr="002D055B">
        <w:rPr>
          <w:rFonts w:ascii="Times New Roman" w:eastAsia="Times New Roman" w:hAnsi="Times New Roman"/>
          <w:sz w:val="24"/>
          <w:lang w:val="en-US" w:eastAsia="ru-RU"/>
        </w:rPr>
        <w:t xml:space="preserve"> </w:t>
      </w:r>
      <w:proofErr w:type="spellStart"/>
      <w:r w:rsidRPr="002D055B">
        <w:rPr>
          <w:rFonts w:ascii="Times New Roman" w:eastAsia="Times New Roman" w:hAnsi="Times New Roman"/>
          <w:sz w:val="24"/>
          <w:lang w:val="en-US" w:eastAsia="ru-RU"/>
        </w:rPr>
        <w:t>temeiul</w:t>
      </w:r>
      <w:proofErr w:type="spellEnd"/>
      <w:r w:rsidRPr="002D055B">
        <w:rPr>
          <w:rFonts w:ascii="Times New Roman" w:eastAsia="Times New Roman" w:hAnsi="Times New Roman"/>
          <w:sz w:val="24"/>
          <w:lang w:val="en-US" w:eastAsia="ru-RU"/>
        </w:rPr>
        <w:t xml:space="preserve"> art.</w:t>
      </w:r>
      <w:r w:rsidR="00CD7BCA" w:rsidRPr="002D055B">
        <w:rPr>
          <w:rFonts w:ascii="Times New Roman" w:eastAsia="Times New Roman" w:hAnsi="Times New Roman"/>
          <w:sz w:val="24"/>
          <w:lang w:val="en-US" w:eastAsia="ru-RU"/>
        </w:rPr>
        <w:t xml:space="preserve"> </w:t>
      </w:r>
      <w:proofErr w:type="gramStart"/>
      <w:r w:rsidRPr="002D055B">
        <w:rPr>
          <w:rFonts w:ascii="Times New Roman" w:eastAsia="Times New Roman" w:hAnsi="Times New Roman"/>
          <w:sz w:val="24"/>
          <w:lang w:val="en-US" w:eastAsia="ru-RU"/>
        </w:rPr>
        <w:t>43</w:t>
      </w:r>
      <w:proofErr w:type="gramEnd"/>
      <w:r w:rsidRPr="002D055B">
        <w:rPr>
          <w:rFonts w:ascii="Times New Roman" w:eastAsia="Times New Roman" w:hAnsi="Times New Roman"/>
          <w:sz w:val="24"/>
          <w:lang w:val="en-US" w:eastAsia="ru-RU"/>
        </w:rPr>
        <w:t xml:space="preserve"> </w:t>
      </w:r>
      <w:proofErr w:type="spellStart"/>
      <w:r w:rsidRPr="002D055B">
        <w:rPr>
          <w:rFonts w:ascii="Times New Roman" w:eastAsia="Times New Roman" w:hAnsi="Times New Roman"/>
          <w:sz w:val="24"/>
          <w:lang w:val="en-US" w:eastAsia="ru-RU"/>
        </w:rPr>
        <w:t>alin</w:t>
      </w:r>
      <w:proofErr w:type="spellEnd"/>
      <w:r w:rsidRPr="002D055B">
        <w:rPr>
          <w:rFonts w:ascii="Times New Roman" w:eastAsia="Times New Roman" w:hAnsi="Times New Roman"/>
          <w:sz w:val="24"/>
          <w:lang w:val="en-US" w:eastAsia="ru-RU"/>
        </w:rPr>
        <w:t xml:space="preserve">. (2)  </w:t>
      </w:r>
      <w:proofErr w:type="gramStart"/>
      <w:r w:rsidRPr="002D055B">
        <w:rPr>
          <w:rFonts w:ascii="Times New Roman" w:eastAsia="Times New Roman" w:hAnsi="Times New Roman"/>
          <w:sz w:val="24"/>
          <w:lang w:val="en-US" w:eastAsia="ru-RU"/>
        </w:rPr>
        <w:t>din</w:t>
      </w:r>
      <w:proofErr w:type="gramEnd"/>
      <w:r w:rsidRPr="002D055B">
        <w:rPr>
          <w:rFonts w:ascii="Times New Roman" w:eastAsia="Times New Roman" w:hAnsi="Times New Roman"/>
          <w:sz w:val="24"/>
          <w:lang w:val="ro-MD" w:eastAsia="ru-RU"/>
        </w:rPr>
        <w:t xml:space="preserve"> Legea nr. 436/2006 privind administraţia publică locală, art.</w:t>
      </w:r>
      <w:r w:rsidR="00CD7BCA" w:rsidRPr="002D055B">
        <w:rPr>
          <w:rFonts w:ascii="Times New Roman" w:eastAsia="Times New Roman" w:hAnsi="Times New Roman"/>
          <w:sz w:val="24"/>
          <w:lang w:val="ro-MD" w:eastAsia="ru-RU"/>
        </w:rPr>
        <w:t xml:space="preserve"> </w:t>
      </w:r>
      <w:r w:rsidRPr="002D055B">
        <w:rPr>
          <w:rFonts w:ascii="Times New Roman" w:eastAsia="Times New Roman" w:hAnsi="Times New Roman"/>
          <w:sz w:val="24"/>
          <w:lang w:val="ro-MD" w:eastAsia="ru-RU"/>
        </w:rPr>
        <w:t>62-64 din Legea nr.</w:t>
      </w:r>
      <w:r w:rsidR="002D055B">
        <w:rPr>
          <w:rFonts w:ascii="Times New Roman" w:eastAsia="Times New Roman" w:hAnsi="Times New Roman"/>
          <w:sz w:val="24"/>
          <w:lang w:val="ro-MD" w:eastAsia="ru-RU"/>
        </w:rPr>
        <w:t xml:space="preserve"> </w:t>
      </w:r>
      <w:r w:rsidRPr="002D055B">
        <w:rPr>
          <w:rFonts w:ascii="Times New Roman" w:eastAsia="Times New Roman" w:hAnsi="Times New Roman"/>
          <w:sz w:val="24"/>
          <w:lang w:val="ro-MD" w:eastAsia="ru-RU"/>
        </w:rPr>
        <w:t xml:space="preserve">100/2017 cu privire la actele normative, Deciziei Consiliului raional nr.7/6 din 10.12.2021 </w:t>
      </w:r>
      <w:r w:rsidRPr="002D055B">
        <w:rPr>
          <w:rFonts w:ascii="Times New Roman" w:eastAsia="Times New Roman" w:hAnsi="Times New Roman"/>
          <w:sz w:val="24"/>
          <w:lang w:val="en-US" w:eastAsia="ru-RU"/>
        </w:rPr>
        <w:t xml:space="preserve">“Cu </w:t>
      </w:r>
      <w:proofErr w:type="spellStart"/>
      <w:r w:rsidRPr="002D055B">
        <w:rPr>
          <w:rFonts w:ascii="Times New Roman" w:eastAsia="Times New Roman" w:hAnsi="Times New Roman"/>
          <w:sz w:val="24"/>
          <w:lang w:val="en-US" w:eastAsia="ru-RU"/>
        </w:rPr>
        <w:t>privire</w:t>
      </w:r>
      <w:proofErr w:type="spellEnd"/>
      <w:r w:rsidRPr="002D055B">
        <w:rPr>
          <w:rFonts w:ascii="Times New Roman" w:eastAsia="Times New Roman" w:hAnsi="Times New Roman"/>
          <w:sz w:val="24"/>
          <w:lang w:val="en-US" w:eastAsia="ru-RU"/>
        </w:rPr>
        <w:t xml:space="preserve"> la </w:t>
      </w:r>
      <w:proofErr w:type="spellStart"/>
      <w:r w:rsidRPr="002D055B">
        <w:rPr>
          <w:rFonts w:ascii="Times New Roman" w:eastAsia="Times New Roman" w:hAnsi="Times New Roman"/>
          <w:sz w:val="24"/>
          <w:lang w:val="en-US" w:eastAsia="ru-RU"/>
        </w:rPr>
        <w:t>aprobarea</w:t>
      </w:r>
      <w:proofErr w:type="spellEnd"/>
      <w:r w:rsidRPr="002D055B">
        <w:rPr>
          <w:rFonts w:ascii="Times New Roman" w:eastAsia="Times New Roman" w:hAnsi="Times New Roman"/>
          <w:sz w:val="24"/>
          <w:lang w:val="en-US" w:eastAsia="ru-RU"/>
        </w:rPr>
        <w:t xml:space="preserve"> </w:t>
      </w:r>
      <w:proofErr w:type="spellStart"/>
      <w:r w:rsidRPr="002D055B">
        <w:rPr>
          <w:rFonts w:ascii="Times New Roman" w:eastAsia="Times New Roman" w:hAnsi="Times New Roman"/>
          <w:sz w:val="24"/>
          <w:lang w:val="en-US" w:eastAsia="ru-RU"/>
        </w:rPr>
        <w:t>Strategiei</w:t>
      </w:r>
      <w:proofErr w:type="spellEnd"/>
      <w:r w:rsidRPr="002D055B">
        <w:rPr>
          <w:rFonts w:ascii="Times New Roman" w:eastAsia="Times New Roman" w:hAnsi="Times New Roman"/>
          <w:sz w:val="24"/>
          <w:lang w:val="en-US" w:eastAsia="ru-RU"/>
        </w:rPr>
        <w:t xml:space="preserve"> de </w:t>
      </w:r>
      <w:proofErr w:type="spellStart"/>
      <w:r w:rsidRPr="002D055B">
        <w:rPr>
          <w:rFonts w:ascii="Times New Roman" w:eastAsia="Times New Roman" w:hAnsi="Times New Roman"/>
          <w:sz w:val="24"/>
          <w:lang w:val="en-US" w:eastAsia="ru-RU"/>
        </w:rPr>
        <w:t>dezvoltare</w:t>
      </w:r>
      <w:proofErr w:type="spellEnd"/>
      <w:r w:rsidRPr="002D055B">
        <w:rPr>
          <w:rFonts w:ascii="Times New Roman" w:eastAsia="Times New Roman" w:hAnsi="Times New Roman"/>
          <w:sz w:val="24"/>
          <w:lang w:val="en-US" w:eastAsia="ru-RU"/>
        </w:rPr>
        <w:t xml:space="preserve"> social-economic</w:t>
      </w:r>
      <w:r w:rsidRPr="002D055B">
        <w:rPr>
          <w:rFonts w:ascii="Times New Roman" w:eastAsia="Times New Roman" w:hAnsi="Times New Roman"/>
          <w:sz w:val="24"/>
          <w:lang w:val="ro-RO" w:eastAsia="ru-RU"/>
        </w:rPr>
        <w:t>ă a raionului Sîngerei pentru perioada anilor 2021-2028</w:t>
      </w:r>
      <w:r w:rsidRPr="002D055B">
        <w:rPr>
          <w:rFonts w:ascii="Times New Roman" w:eastAsia="Times New Roman" w:hAnsi="Times New Roman"/>
          <w:sz w:val="24"/>
          <w:lang w:val="en-US" w:eastAsia="ru-RU"/>
        </w:rPr>
        <w:t>”</w:t>
      </w:r>
      <w:r w:rsidR="00E163CF" w:rsidRPr="002D055B">
        <w:rPr>
          <w:rFonts w:ascii="Times New Roman" w:eastAsia="Times New Roman" w:hAnsi="Times New Roman"/>
          <w:sz w:val="24"/>
          <w:lang w:val="en-US" w:eastAsia="ru-RU"/>
        </w:rPr>
        <w:t>,</w:t>
      </w:r>
      <w:r w:rsidRPr="002D055B">
        <w:rPr>
          <w:rFonts w:ascii="Times New Roman" w:eastAsia="Times New Roman" w:hAnsi="Times New Roman"/>
          <w:sz w:val="24"/>
          <w:lang w:val="en-US" w:eastAsia="ru-RU"/>
        </w:rPr>
        <w:t xml:space="preserve"> </w:t>
      </w:r>
      <w:r w:rsidR="002D055B">
        <w:rPr>
          <w:rFonts w:ascii="Times New Roman" w:eastAsia="Times New Roman" w:hAnsi="Times New Roman"/>
          <w:sz w:val="24"/>
          <w:lang w:val="ro-MD" w:eastAsia="ru-RU"/>
        </w:rPr>
        <w:t>Hotărâ</w:t>
      </w:r>
      <w:r w:rsidRPr="002D055B">
        <w:rPr>
          <w:rFonts w:ascii="Times New Roman" w:eastAsia="Times New Roman" w:hAnsi="Times New Roman"/>
          <w:sz w:val="24"/>
          <w:lang w:val="ro-MD" w:eastAsia="ru-RU"/>
        </w:rPr>
        <w:t xml:space="preserve">rea </w:t>
      </w:r>
      <w:r w:rsidR="00E163CF" w:rsidRPr="002D055B">
        <w:rPr>
          <w:rFonts w:ascii="Times New Roman" w:eastAsia="Times New Roman" w:hAnsi="Times New Roman"/>
          <w:sz w:val="24"/>
          <w:lang w:val="ro-MD" w:eastAsia="ru-RU"/>
        </w:rPr>
        <w:t>G</w:t>
      </w:r>
      <w:r w:rsidRPr="002D055B">
        <w:rPr>
          <w:rFonts w:ascii="Times New Roman" w:eastAsia="Times New Roman" w:hAnsi="Times New Roman"/>
          <w:sz w:val="24"/>
          <w:lang w:val="ro-MD" w:eastAsia="ru-RU"/>
        </w:rPr>
        <w:t>uvernului nr.</w:t>
      </w:r>
      <w:r w:rsidR="00E163CF" w:rsidRPr="002D055B">
        <w:rPr>
          <w:rFonts w:ascii="Times New Roman" w:eastAsia="Times New Roman" w:hAnsi="Times New Roman"/>
          <w:sz w:val="24"/>
          <w:lang w:val="ro-MD" w:eastAsia="ru-RU"/>
        </w:rPr>
        <w:t xml:space="preserve"> </w:t>
      </w:r>
      <w:r w:rsidRPr="002D055B">
        <w:rPr>
          <w:rFonts w:ascii="Times New Roman" w:eastAsia="Times New Roman" w:hAnsi="Times New Roman"/>
          <w:sz w:val="24"/>
          <w:lang w:val="ro-MD" w:eastAsia="ru-RU"/>
        </w:rPr>
        <w:t>168/2023 pentru aprobarea Strategiei de dezv</w:t>
      </w:r>
      <w:r w:rsidR="002D055B">
        <w:rPr>
          <w:rFonts w:ascii="Times New Roman" w:eastAsia="Times New Roman" w:hAnsi="Times New Roman"/>
          <w:sz w:val="24"/>
          <w:lang w:val="ro-MD" w:eastAsia="ru-RU"/>
        </w:rPr>
        <w:t>oltare a sectorului de tineret „</w:t>
      </w:r>
      <w:r w:rsidRPr="002D055B">
        <w:rPr>
          <w:rFonts w:ascii="Times New Roman" w:eastAsia="Times New Roman" w:hAnsi="Times New Roman"/>
          <w:sz w:val="24"/>
          <w:lang w:val="ro-MD" w:eastAsia="ru-RU"/>
        </w:rPr>
        <w:t>Tineret 2030” și a Programului privind implementarea acesteia pentru anii 202</w:t>
      </w:r>
      <w:r w:rsidR="00E163CF" w:rsidRPr="002D055B">
        <w:rPr>
          <w:rFonts w:ascii="Times New Roman" w:eastAsia="Times New Roman" w:hAnsi="Times New Roman"/>
          <w:sz w:val="24"/>
          <w:lang w:val="ro-MD" w:eastAsia="ru-RU"/>
        </w:rPr>
        <w:t>3</w:t>
      </w:r>
      <w:r w:rsidRPr="002D055B">
        <w:rPr>
          <w:rFonts w:ascii="Times New Roman" w:eastAsia="Times New Roman" w:hAnsi="Times New Roman"/>
          <w:sz w:val="24"/>
          <w:lang w:val="ro-MD" w:eastAsia="ru-RU"/>
        </w:rPr>
        <w:t>-2026</w:t>
      </w:r>
      <w:r w:rsidR="00E163CF" w:rsidRPr="002D055B">
        <w:rPr>
          <w:rFonts w:ascii="Times New Roman" w:eastAsia="Times New Roman" w:hAnsi="Times New Roman"/>
          <w:sz w:val="24"/>
          <w:lang w:val="en-US" w:eastAsia="ru-RU"/>
        </w:rPr>
        <w:t>,</w:t>
      </w:r>
      <w:r w:rsidR="00710E95" w:rsidRPr="002D055B">
        <w:rPr>
          <w:rFonts w:ascii="Times New Roman" w:eastAsia="Times New Roman" w:hAnsi="Times New Roman"/>
          <w:sz w:val="24"/>
          <w:lang w:val="en-US" w:eastAsia="ru-RU"/>
        </w:rPr>
        <w:t xml:space="preserve"> </w:t>
      </w:r>
      <w:r w:rsidR="002D055B">
        <w:rPr>
          <w:rFonts w:ascii="Times New Roman" w:eastAsia="Times New Roman" w:hAnsi="Times New Roman"/>
          <w:sz w:val="24"/>
          <w:lang w:val="en-US" w:eastAsia="ru-RU"/>
        </w:rPr>
        <w:t xml:space="preserve"> </w:t>
      </w:r>
    </w:p>
    <w:p w:rsidR="00260A1C" w:rsidRPr="002D055B" w:rsidRDefault="00260A1C" w:rsidP="00C22C8D">
      <w:pPr>
        <w:spacing w:after="0" w:line="276" w:lineRule="auto"/>
        <w:ind w:firstLine="567"/>
        <w:contextualSpacing/>
        <w:jc w:val="both"/>
        <w:rPr>
          <w:rFonts w:ascii="Times New Roman" w:eastAsia="Times New Roman" w:hAnsi="Times New Roman"/>
          <w:sz w:val="24"/>
          <w:lang w:val="en-US" w:eastAsia="ru-RU"/>
        </w:rPr>
      </w:pPr>
      <w:proofErr w:type="spellStart"/>
      <w:r w:rsidRPr="002D055B">
        <w:rPr>
          <w:rFonts w:ascii="Times New Roman" w:eastAsia="Times New Roman" w:hAnsi="Times New Roman"/>
          <w:b/>
          <w:sz w:val="24"/>
          <w:lang w:val="en-US" w:eastAsia="ru-RU"/>
        </w:rPr>
        <w:t>Consiliul</w:t>
      </w:r>
      <w:proofErr w:type="spellEnd"/>
      <w:r w:rsidRPr="002D055B">
        <w:rPr>
          <w:rFonts w:ascii="Times New Roman" w:eastAsia="Times New Roman" w:hAnsi="Times New Roman"/>
          <w:b/>
          <w:sz w:val="24"/>
          <w:lang w:val="en-US" w:eastAsia="ru-RU"/>
        </w:rPr>
        <w:t xml:space="preserve"> </w:t>
      </w:r>
      <w:proofErr w:type="spellStart"/>
      <w:r w:rsidRPr="002D055B">
        <w:rPr>
          <w:rFonts w:ascii="Times New Roman" w:eastAsia="Times New Roman" w:hAnsi="Times New Roman"/>
          <w:b/>
          <w:sz w:val="24"/>
          <w:lang w:val="en-US" w:eastAsia="ru-RU"/>
        </w:rPr>
        <w:t>raional</w:t>
      </w:r>
      <w:proofErr w:type="spellEnd"/>
      <w:r w:rsidRPr="002D055B">
        <w:rPr>
          <w:rFonts w:ascii="Times New Roman" w:eastAsia="Times New Roman" w:hAnsi="Times New Roman"/>
          <w:b/>
          <w:sz w:val="24"/>
          <w:lang w:val="en-US" w:eastAsia="ru-RU"/>
        </w:rPr>
        <w:t>,</w:t>
      </w:r>
    </w:p>
    <w:p w:rsidR="00260A1C" w:rsidRPr="002D055B" w:rsidRDefault="00260A1C" w:rsidP="00C22C8D">
      <w:pPr>
        <w:spacing w:after="0" w:line="276" w:lineRule="auto"/>
        <w:ind w:left="-284"/>
        <w:contextualSpacing/>
        <w:jc w:val="center"/>
        <w:rPr>
          <w:rFonts w:ascii="Times New Roman" w:hAnsi="Times New Roman"/>
          <w:b/>
          <w:sz w:val="24"/>
          <w:lang w:val="ro-MD" w:eastAsia="ru-RU"/>
        </w:rPr>
      </w:pPr>
      <w:r w:rsidRPr="002D055B">
        <w:rPr>
          <w:rFonts w:ascii="Times New Roman" w:hAnsi="Times New Roman"/>
          <w:b/>
          <w:sz w:val="24"/>
          <w:lang w:val="ro-MD" w:eastAsia="ru-RU"/>
        </w:rPr>
        <w:t>DECIDE:</w:t>
      </w:r>
    </w:p>
    <w:p w:rsidR="00260A1C" w:rsidRPr="002D055B" w:rsidRDefault="00260A1C" w:rsidP="00C22C8D">
      <w:pPr>
        <w:tabs>
          <w:tab w:val="left" w:pos="851"/>
        </w:tabs>
        <w:spacing w:after="0" w:line="276" w:lineRule="auto"/>
        <w:ind w:firstLine="567"/>
        <w:jc w:val="both"/>
        <w:rPr>
          <w:rFonts w:ascii="Times New Roman" w:hAnsi="Times New Roman"/>
          <w:sz w:val="24"/>
          <w:lang w:val="ro-MD"/>
        </w:rPr>
      </w:pPr>
      <w:r w:rsidRPr="002D055B">
        <w:rPr>
          <w:rFonts w:ascii="Times New Roman" w:hAnsi="Times New Roman"/>
          <w:sz w:val="24"/>
          <w:lang w:val="ro-MD"/>
        </w:rPr>
        <w:t>1. Se modifică și se completează Anexa nr.</w:t>
      </w:r>
      <w:r w:rsidR="002D055B">
        <w:rPr>
          <w:rFonts w:ascii="Times New Roman" w:hAnsi="Times New Roman"/>
          <w:sz w:val="24"/>
          <w:lang w:val="ro-MD"/>
        </w:rPr>
        <w:t xml:space="preserve"> </w:t>
      </w:r>
      <w:r w:rsidRPr="002D055B">
        <w:rPr>
          <w:rFonts w:ascii="Times New Roman" w:hAnsi="Times New Roman"/>
          <w:sz w:val="24"/>
          <w:lang w:val="ro-MD"/>
        </w:rPr>
        <w:t xml:space="preserve">1 a </w:t>
      </w:r>
      <w:r w:rsidR="00E163CF" w:rsidRPr="002D055B">
        <w:rPr>
          <w:rFonts w:ascii="Times New Roman" w:hAnsi="Times New Roman"/>
          <w:sz w:val="24"/>
          <w:lang w:val="ro-MD"/>
        </w:rPr>
        <w:t>Deciziei nr.</w:t>
      </w:r>
      <w:r w:rsidR="002D055B">
        <w:rPr>
          <w:rFonts w:ascii="Times New Roman" w:hAnsi="Times New Roman"/>
          <w:sz w:val="24"/>
          <w:lang w:val="ro-MD"/>
        </w:rPr>
        <w:t xml:space="preserve"> </w:t>
      </w:r>
      <w:r w:rsidR="00E163CF" w:rsidRPr="002D055B">
        <w:rPr>
          <w:rFonts w:ascii="Times New Roman" w:hAnsi="Times New Roman"/>
          <w:sz w:val="24"/>
          <w:lang w:val="ro-MD"/>
        </w:rPr>
        <w:t>7/6 din 10.12.2021 „</w:t>
      </w:r>
      <w:r w:rsidRPr="002D055B">
        <w:rPr>
          <w:rFonts w:ascii="Times New Roman" w:hAnsi="Times New Roman"/>
          <w:sz w:val="24"/>
          <w:lang w:val="ro-MD"/>
        </w:rPr>
        <w:t>Strategia de dezvoltare socio-economică a Raionului Sîngerei p</w:t>
      </w:r>
      <w:bookmarkStart w:id="0" w:name="_Hlk98159126"/>
      <w:r w:rsidRPr="002D055B">
        <w:rPr>
          <w:rFonts w:ascii="Times New Roman" w:hAnsi="Times New Roman"/>
          <w:sz w:val="24"/>
          <w:lang w:val="ro-MD"/>
        </w:rPr>
        <w:t>entru perioada anilor 2021-2028”</w:t>
      </w:r>
      <w:r w:rsidR="00E163CF" w:rsidRPr="002D055B">
        <w:rPr>
          <w:rFonts w:ascii="Times New Roman" w:hAnsi="Times New Roman"/>
          <w:sz w:val="24"/>
          <w:lang w:val="ro-MD"/>
        </w:rPr>
        <w:t xml:space="preserve">, </w:t>
      </w:r>
      <w:r w:rsidRPr="002D055B">
        <w:rPr>
          <w:rFonts w:ascii="Times New Roman" w:hAnsi="Times New Roman"/>
          <w:sz w:val="24"/>
          <w:lang w:val="ro-MD"/>
        </w:rPr>
        <w:t>după cum urmează:</w:t>
      </w:r>
    </w:p>
    <w:p w:rsidR="00260A1C" w:rsidRPr="002D055B" w:rsidRDefault="00260A1C" w:rsidP="00C22C8D">
      <w:pPr>
        <w:tabs>
          <w:tab w:val="left" w:pos="851"/>
        </w:tabs>
        <w:spacing w:after="0" w:line="276" w:lineRule="auto"/>
        <w:ind w:firstLine="567"/>
        <w:jc w:val="both"/>
        <w:rPr>
          <w:rFonts w:ascii="Times New Roman" w:hAnsi="Times New Roman"/>
          <w:sz w:val="24"/>
          <w:lang w:val="ro-MD"/>
        </w:rPr>
      </w:pPr>
      <w:r w:rsidRPr="002D055B">
        <w:rPr>
          <w:rFonts w:ascii="Times New Roman" w:hAnsi="Times New Roman"/>
          <w:sz w:val="24"/>
          <w:lang w:val="ro-MD"/>
        </w:rPr>
        <w:t>1.1. La pct.</w:t>
      </w:r>
      <w:r w:rsidR="00E163CF" w:rsidRPr="002D055B">
        <w:rPr>
          <w:rFonts w:ascii="Times New Roman" w:hAnsi="Times New Roman"/>
          <w:sz w:val="24"/>
          <w:lang w:val="ro-MD"/>
        </w:rPr>
        <w:t xml:space="preserve"> </w:t>
      </w:r>
      <w:r w:rsidRPr="002D055B">
        <w:rPr>
          <w:rFonts w:ascii="Times New Roman" w:hAnsi="Times New Roman"/>
          <w:sz w:val="24"/>
          <w:lang w:val="ro-MD"/>
        </w:rPr>
        <w:t xml:space="preserve">2.11 din Capitolul II. </w:t>
      </w:r>
      <w:r w:rsidR="00E163CF" w:rsidRPr="002D055B">
        <w:rPr>
          <w:rFonts w:ascii="Times New Roman" w:hAnsi="Times New Roman"/>
          <w:sz w:val="24"/>
          <w:lang w:val="ro-MD"/>
        </w:rPr>
        <w:t>„</w:t>
      </w:r>
      <w:r w:rsidRPr="002D055B">
        <w:rPr>
          <w:rFonts w:ascii="Times New Roman" w:hAnsi="Times New Roman"/>
          <w:sz w:val="24"/>
          <w:lang w:val="ro-MD"/>
        </w:rPr>
        <w:t>Profilul Socio-Economic al Raionului</w:t>
      </w:r>
      <w:r w:rsidR="00E163CF" w:rsidRPr="002D055B">
        <w:rPr>
          <w:rFonts w:ascii="Times New Roman" w:hAnsi="Times New Roman"/>
          <w:sz w:val="24"/>
          <w:lang w:val="ro-MD"/>
        </w:rPr>
        <w:t xml:space="preserve"> Sîngerei”, </w:t>
      </w:r>
      <w:r w:rsidRPr="002D055B">
        <w:rPr>
          <w:rFonts w:ascii="Times New Roman" w:hAnsi="Times New Roman"/>
          <w:sz w:val="24"/>
          <w:lang w:val="ro-MD"/>
        </w:rPr>
        <w:t xml:space="preserve">sintagma </w:t>
      </w:r>
      <w:r w:rsidR="00E163CF" w:rsidRPr="002D055B">
        <w:rPr>
          <w:rFonts w:ascii="Times New Roman" w:hAnsi="Times New Roman"/>
          <w:sz w:val="24"/>
          <w:lang w:val="ro-MD"/>
        </w:rPr>
        <w:t>„</w:t>
      </w:r>
      <w:r w:rsidRPr="002D055B">
        <w:rPr>
          <w:rFonts w:ascii="Times New Roman" w:hAnsi="Times New Roman"/>
          <w:sz w:val="24"/>
          <w:lang w:val="ro-MD"/>
        </w:rPr>
        <w:t>Sport</w:t>
      </w:r>
      <w:r w:rsidR="00E163CF" w:rsidRPr="002D055B">
        <w:rPr>
          <w:rFonts w:ascii="Times New Roman" w:hAnsi="Times New Roman"/>
          <w:sz w:val="24"/>
          <w:lang w:val="ro-MD"/>
        </w:rPr>
        <w:t>”</w:t>
      </w:r>
      <w:r w:rsidRPr="002D055B">
        <w:rPr>
          <w:rFonts w:ascii="Times New Roman" w:hAnsi="Times New Roman"/>
          <w:sz w:val="24"/>
          <w:lang w:val="ro-MD"/>
        </w:rPr>
        <w:t xml:space="preserve"> se modifică cu </w:t>
      </w:r>
      <w:r w:rsidR="002D055B">
        <w:rPr>
          <w:rFonts w:ascii="Times New Roman" w:hAnsi="Times New Roman"/>
          <w:sz w:val="24"/>
          <w:lang w:val="ro-MD"/>
        </w:rPr>
        <w:t>sintagma „</w:t>
      </w:r>
      <w:r w:rsidRPr="002D055B">
        <w:rPr>
          <w:rFonts w:ascii="Times New Roman" w:hAnsi="Times New Roman"/>
          <w:sz w:val="24"/>
          <w:lang w:val="ro-MD"/>
        </w:rPr>
        <w:t>Tineret și Sport</w:t>
      </w:r>
      <w:r w:rsidRPr="002D055B">
        <w:rPr>
          <w:rFonts w:ascii="Times New Roman" w:hAnsi="Times New Roman"/>
          <w:sz w:val="24"/>
          <w:lang w:val="en-US"/>
        </w:rPr>
        <w:t>”</w:t>
      </w:r>
      <w:r w:rsidR="00E163CF" w:rsidRPr="002D055B">
        <w:rPr>
          <w:rFonts w:ascii="Times New Roman" w:hAnsi="Times New Roman"/>
          <w:sz w:val="24"/>
          <w:lang w:val="ro-MD"/>
        </w:rPr>
        <w:t xml:space="preserve"> și se expune în redacție nouă, conform</w:t>
      </w:r>
      <w:r w:rsidRPr="002D055B">
        <w:rPr>
          <w:rFonts w:ascii="Times New Roman" w:hAnsi="Times New Roman"/>
          <w:sz w:val="24"/>
          <w:lang w:val="ro-MD"/>
        </w:rPr>
        <w:t xml:space="preserve"> </w:t>
      </w:r>
      <w:r w:rsidR="00E163CF" w:rsidRPr="002D055B">
        <w:rPr>
          <w:rFonts w:ascii="Times New Roman" w:hAnsi="Times New Roman"/>
          <w:sz w:val="24"/>
          <w:lang w:val="ro-MD"/>
        </w:rPr>
        <w:t>Anexei nr.1.</w:t>
      </w:r>
    </w:p>
    <w:p w:rsidR="00260A1C" w:rsidRPr="002D055B" w:rsidRDefault="00260A1C" w:rsidP="00C22C8D">
      <w:pPr>
        <w:tabs>
          <w:tab w:val="left" w:pos="851"/>
        </w:tabs>
        <w:spacing w:after="0" w:line="276" w:lineRule="auto"/>
        <w:ind w:firstLine="567"/>
        <w:jc w:val="both"/>
        <w:rPr>
          <w:rFonts w:ascii="Times New Roman" w:hAnsi="Times New Roman"/>
          <w:sz w:val="24"/>
          <w:lang w:val="ro-MD"/>
        </w:rPr>
      </w:pPr>
      <w:r w:rsidRPr="002D055B">
        <w:rPr>
          <w:rFonts w:ascii="Times New Roman" w:hAnsi="Times New Roman"/>
          <w:sz w:val="24"/>
          <w:lang w:val="ro-MD"/>
        </w:rPr>
        <w:t xml:space="preserve">1.2. Capitolul III. </w:t>
      </w:r>
      <w:r w:rsidR="00E163CF" w:rsidRPr="002D055B">
        <w:rPr>
          <w:rFonts w:ascii="Times New Roman" w:hAnsi="Times New Roman"/>
          <w:sz w:val="24"/>
          <w:lang w:val="ro-MD"/>
        </w:rPr>
        <w:t>„</w:t>
      </w:r>
      <w:r w:rsidRPr="002D055B">
        <w:rPr>
          <w:rFonts w:ascii="Times New Roman" w:hAnsi="Times New Roman"/>
          <w:sz w:val="24"/>
          <w:lang w:val="ro-MD"/>
        </w:rPr>
        <w:t>Analiza SWOT Sectorială</w:t>
      </w:r>
      <w:r w:rsidR="00E163CF" w:rsidRPr="002D055B">
        <w:rPr>
          <w:rFonts w:ascii="Times New Roman" w:hAnsi="Times New Roman"/>
          <w:sz w:val="24"/>
          <w:lang w:val="ro-MD"/>
        </w:rPr>
        <w:t>”</w:t>
      </w:r>
      <w:r w:rsidRPr="002D055B">
        <w:rPr>
          <w:rFonts w:ascii="Times New Roman" w:hAnsi="Times New Roman"/>
          <w:sz w:val="24"/>
          <w:lang w:val="ro-MD"/>
        </w:rPr>
        <w:t xml:space="preserve"> se completează cu pct. 3.5 </w:t>
      </w:r>
      <w:r w:rsidR="002D055B">
        <w:rPr>
          <w:rFonts w:ascii="Times New Roman" w:hAnsi="Times New Roman"/>
          <w:sz w:val="24"/>
          <w:lang w:val="ro-MD"/>
        </w:rPr>
        <w:t>„</w:t>
      </w:r>
      <w:r w:rsidRPr="002D055B">
        <w:rPr>
          <w:rFonts w:ascii="Times New Roman" w:hAnsi="Times New Roman"/>
          <w:sz w:val="24"/>
          <w:lang w:val="ro-MD"/>
        </w:rPr>
        <w:t>Analiza SWOT domeniul tineret și sport</w:t>
      </w:r>
      <w:r w:rsidRPr="002D055B">
        <w:rPr>
          <w:rFonts w:ascii="Times New Roman" w:hAnsi="Times New Roman"/>
          <w:sz w:val="24"/>
          <w:lang w:val="en-US"/>
        </w:rPr>
        <w:t>”</w:t>
      </w:r>
      <w:r w:rsidR="00E163CF" w:rsidRPr="002D055B">
        <w:rPr>
          <w:rFonts w:ascii="Times New Roman" w:hAnsi="Times New Roman"/>
          <w:sz w:val="24"/>
          <w:lang w:val="ro-MD"/>
        </w:rPr>
        <w:t>,</w:t>
      </w:r>
      <w:r w:rsidRPr="002D055B">
        <w:rPr>
          <w:rFonts w:ascii="Times New Roman" w:hAnsi="Times New Roman"/>
          <w:sz w:val="24"/>
          <w:lang w:val="ro-MD"/>
        </w:rPr>
        <w:t xml:space="preserve"> conform Anexei nr.</w:t>
      </w:r>
      <w:r w:rsidR="00E163CF" w:rsidRPr="002D055B">
        <w:rPr>
          <w:rFonts w:ascii="Times New Roman" w:hAnsi="Times New Roman"/>
          <w:sz w:val="24"/>
          <w:lang w:val="ro-MD"/>
        </w:rPr>
        <w:t xml:space="preserve"> </w:t>
      </w:r>
      <w:r w:rsidRPr="002D055B">
        <w:rPr>
          <w:rFonts w:ascii="Times New Roman" w:hAnsi="Times New Roman"/>
          <w:sz w:val="24"/>
          <w:lang w:val="ro-MD"/>
        </w:rPr>
        <w:t>2</w:t>
      </w:r>
      <w:r w:rsidR="00E163CF" w:rsidRPr="002D055B">
        <w:rPr>
          <w:rFonts w:ascii="Times New Roman" w:hAnsi="Times New Roman"/>
          <w:sz w:val="24"/>
          <w:lang w:val="ro-MD"/>
        </w:rPr>
        <w:t>.</w:t>
      </w:r>
    </w:p>
    <w:p w:rsidR="00260A1C" w:rsidRPr="002D055B" w:rsidRDefault="00260A1C" w:rsidP="00C22C8D">
      <w:pPr>
        <w:tabs>
          <w:tab w:val="left" w:pos="851"/>
        </w:tabs>
        <w:spacing w:after="0" w:line="276" w:lineRule="auto"/>
        <w:ind w:firstLine="567"/>
        <w:jc w:val="both"/>
        <w:rPr>
          <w:rFonts w:ascii="Times New Roman" w:hAnsi="Times New Roman"/>
          <w:sz w:val="24"/>
          <w:lang w:val="ro-MD"/>
        </w:rPr>
      </w:pPr>
      <w:r w:rsidRPr="002D055B">
        <w:rPr>
          <w:rFonts w:ascii="Times New Roman" w:hAnsi="Times New Roman"/>
          <w:sz w:val="24"/>
          <w:lang w:val="ro-MD"/>
        </w:rPr>
        <w:t xml:space="preserve">1.3 Capitolul V. </w:t>
      </w:r>
      <w:r w:rsidR="00E163CF" w:rsidRPr="002D055B">
        <w:rPr>
          <w:rFonts w:ascii="Times New Roman" w:hAnsi="Times New Roman"/>
          <w:sz w:val="24"/>
          <w:lang w:val="ro-MD"/>
        </w:rPr>
        <w:t xml:space="preserve">„Monitorizarea </w:t>
      </w:r>
      <w:r w:rsidRPr="002D055B">
        <w:rPr>
          <w:rFonts w:ascii="Times New Roman" w:hAnsi="Times New Roman"/>
          <w:sz w:val="24"/>
          <w:lang w:val="ro-MD"/>
        </w:rPr>
        <w:t>Strategiei de dezvoltare socio-economică</w:t>
      </w:r>
      <w:r w:rsidR="00E163CF" w:rsidRPr="002D055B">
        <w:rPr>
          <w:rFonts w:ascii="Times New Roman" w:hAnsi="Times New Roman"/>
          <w:sz w:val="24"/>
          <w:lang w:val="ro-MD"/>
        </w:rPr>
        <w:t>”</w:t>
      </w:r>
      <w:r w:rsidRPr="002D055B">
        <w:rPr>
          <w:rFonts w:ascii="Times New Roman" w:hAnsi="Times New Roman"/>
          <w:sz w:val="24"/>
          <w:lang w:val="ro-MD"/>
        </w:rPr>
        <w:t xml:space="preserve"> se completează cu</w:t>
      </w:r>
      <w:r w:rsidR="00E163CF" w:rsidRPr="002D055B">
        <w:rPr>
          <w:rFonts w:ascii="Times New Roman" w:hAnsi="Times New Roman"/>
          <w:sz w:val="24"/>
          <w:lang w:val="ro-MD"/>
        </w:rPr>
        <w:t>:</w:t>
      </w:r>
      <w:r w:rsidRPr="002D055B">
        <w:rPr>
          <w:rFonts w:ascii="Times New Roman" w:hAnsi="Times New Roman"/>
          <w:sz w:val="24"/>
          <w:lang w:val="ro-MD"/>
        </w:rPr>
        <w:t xml:space="preserve"> Obiectiv Strategic 7. </w:t>
      </w:r>
      <w:r w:rsidR="00E163CF" w:rsidRPr="002D055B">
        <w:rPr>
          <w:rFonts w:ascii="Times New Roman" w:hAnsi="Times New Roman"/>
          <w:sz w:val="24"/>
          <w:lang w:val="ro-MD"/>
        </w:rPr>
        <w:t>„</w:t>
      </w:r>
      <w:r w:rsidRPr="002D055B">
        <w:rPr>
          <w:rFonts w:ascii="Times New Roman" w:hAnsi="Times New Roman"/>
          <w:sz w:val="24"/>
          <w:lang w:val="ro-MD"/>
        </w:rPr>
        <w:t>Dezvoltarea și consolidarea sectorului de tineret</w:t>
      </w:r>
      <w:r w:rsidR="00E163CF" w:rsidRPr="002D055B">
        <w:rPr>
          <w:rFonts w:ascii="Times New Roman" w:hAnsi="Times New Roman"/>
          <w:sz w:val="24"/>
          <w:lang w:val="ro-MD"/>
        </w:rPr>
        <w:t>”</w:t>
      </w:r>
      <w:r w:rsidRPr="002D055B">
        <w:rPr>
          <w:rFonts w:ascii="Times New Roman" w:hAnsi="Times New Roman"/>
          <w:sz w:val="24"/>
          <w:lang w:val="ro-MD"/>
        </w:rPr>
        <w:t>, conform Anexei nr.</w:t>
      </w:r>
      <w:r w:rsidR="00E163CF" w:rsidRPr="002D055B">
        <w:rPr>
          <w:rFonts w:ascii="Times New Roman" w:hAnsi="Times New Roman"/>
          <w:sz w:val="24"/>
          <w:lang w:val="ro-MD"/>
        </w:rPr>
        <w:t xml:space="preserve"> 3.</w:t>
      </w:r>
    </w:p>
    <w:p w:rsidR="00260A1C" w:rsidRPr="002D055B" w:rsidRDefault="00260A1C" w:rsidP="00C22C8D">
      <w:pPr>
        <w:tabs>
          <w:tab w:val="left" w:pos="851"/>
        </w:tabs>
        <w:spacing w:after="0" w:line="276" w:lineRule="auto"/>
        <w:ind w:firstLine="567"/>
        <w:jc w:val="both"/>
        <w:rPr>
          <w:rFonts w:ascii="Times New Roman" w:hAnsi="Times New Roman"/>
          <w:sz w:val="24"/>
          <w:lang w:val="ro-MD"/>
        </w:rPr>
      </w:pPr>
      <w:r w:rsidRPr="002D055B">
        <w:rPr>
          <w:rFonts w:ascii="Times New Roman" w:hAnsi="Times New Roman"/>
          <w:sz w:val="24"/>
          <w:lang w:val="ro-MD"/>
        </w:rPr>
        <w:t>1.4. Capitolul VI. ,,Planul de Acțiuni a Strategiei de Dezvoltare</w:t>
      </w:r>
      <w:r w:rsidRPr="002D055B">
        <w:rPr>
          <w:rFonts w:ascii="Times New Roman" w:hAnsi="Times New Roman"/>
          <w:sz w:val="24"/>
          <w:lang w:val="en-US"/>
        </w:rPr>
        <w:t>”</w:t>
      </w:r>
      <w:r w:rsidRPr="002D055B">
        <w:rPr>
          <w:rFonts w:ascii="Times New Roman" w:hAnsi="Times New Roman"/>
          <w:sz w:val="24"/>
          <w:lang w:val="ro-MD"/>
        </w:rPr>
        <w:t xml:space="preserve"> se completează cu</w:t>
      </w:r>
      <w:r w:rsidR="00E163CF" w:rsidRPr="002D055B">
        <w:rPr>
          <w:rFonts w:ascii="Times New Roman" w:hAnsi="Times New Roman"/>
          <w:sz w:val="24"/>
          <w:lang w:val="ro-MD"/>
        </w:rPr>
        <w:t>:</w:t>
      </w:r>
      <w:r w:rsidRPr="002D055B">
        <w:rPr>
          <w:rFonts w:ascii="Times New Roman" w:hAnsi="Times New Roman"/>
          <w:sz w:val="24"/>
          <w:lang w:val="ro-MD"/>
        </w:rPr>
        <w:t xml:space="preserve"> Obiectiv Strategic 7. </w:t>
      </w:r>
      <w:r w:rsidR="00E163CF" w:rsidRPr="002D055B">
        <w:rPr>
          <w:rFonts w:ascii="Times New Roman" w:hAnsi="Times New Roman"/>
          <w:sz w:val="24"/>
          <w:lang w:val="ro-MD"/>
        </w:rPr>
        <w:t>„</w:t>
      </w:r>
      <w:r w:rsidRPr="002D055B">
        <w:rPr>
          <w:rFonts w:ascii="Times New Roman" w:hAnsi="Times New Roman"/>
          <w:sz w:val="24"/>
          <w:lang w:val="ro-MD"/>
        </w:rPr>
        <w:t>Dezvoltarea și consolidarea sectorului de tineret</w:t>
      </w:r>
      <w:r w:rsidR="00E163CF" w:rsidRPr="002D055B">
        <w:rPr>
          <w:rFonts w:ascii="Times New Roman" w:hAnsi="Times New Roman"/>
          <w:sz w:val="24"/>
          <w:lang w:val="ro-MD"/>
        </w:rPr>
        <w:t xml:space="preserve">”, conform </w:t>
      </w:r>
      <w:r w:rsidRPr="002D055B">
        <w:rPr>
          <w:rFonts w:ascii="Times New Roman" w:hAnsi="Times New Roman"/>
          <w:sz w:val="24"/>
          <w:lang w:val="ro-MD"/>
        </w:rPr>
        <w:t>Anexei nr.</w:t>
      </w:r>
      <w:r w:rsidR="00E163CF" w:rsidRPr="002D055B">
        <w:rPr>
          <w:rFonts w:ascii="Times New Roman" w:hAnsi="Times New Roman"/>
          <w:sz w:val="24"/>
          <w:lang w:val="ro-MD"/>
        </w:rPr>
        <w:t xml:space="preserve"> </w:t>
      </w:r>
      <w:r w:rsidRPr="002D055B">
        <w:rPr>
          <w:rFonts w:ascii="Times New Roman" w:hAnsi="Times New Roman"/>
          <w:sz w:val="24"/>
          <w:lang w:val="ro-MD"/>
        </w:rPr>
        <w:t>4</w:t>
      </w:r>
      <w:r w:rsidR="00E163CF" w:rsidRPr="002D055B">
        <w:rPr>
          <w:rFonts w:ascii="Times New Roman" w:hAnsi="Times New Roman"/>
          <w:sz w:val="24"/>
          <w:lang w:val="ro-MD"/>
        </w:rPr>
        <w:t>.</w:t>
      </w:r>
      <w:r w:rsidRPr="002D055B">
        <w:rPr>
          <w:rFonts w:ascii="Times New Roman" w:hAnsi="Times New Roman"/>
          <w:sz w:val="24"/>
          <w:lang w:val="ro-MD"/>
        </w:rPr>
        <w:t xml:space="preserve"> </w:t>
      </w:r>
    </w:p>
    <w:p w:rsidR="00260A1C" w:rsidRPr="002D055B" w:rsidRDefault="00260A1C" w:rsidP="00C22C8D">
      <w:pPr>
        <w:tabs>
          <w:tab w:val="left" w:pos="851"/>
          <w:tab w:val="left" w:pos="1110"/>
        </w:tabs>
        <w:spacing w:after="0" w:line="276" w:lineRule="auto"/>
        <w:ind w:firstLine="567"/>
        <w:contextualSpacing/>
        <w:jc w:val="both"/>
        <w:rPr>
          <w:rFonts w:ascii="Times New Roman" w:eastAsia="Times New Roman" w:hAnsi="Times New Roman"/>
          <w:sz w:val="24"/>
          <w:lang w:val="ro-MD"/>
        </w:rPr>
      </w:pPr>
      <w:r w:rsidRPr="002D055B">
        <w:rPr>
          <w:rFonts w:ascii="Times New Roman" w:eastAsia="Times New Roman" w:hAnsi="Times New Roman"/>
          <w:sz w:val="24"/>
          <w:lang w:val="ro-MD"/>
        </w:rPr>
        <w:t>2. Se desemnează Președintele raionului (dl C</w:t>
      </w:r>
      <w:r w:rsidR="00E163CF" w:rsidRPr="002D055B">
        <w:rPr>
          <w:rFonts w:ascii="Times New Roman" w:eastAsia="Times New Roman" w:hAnsi="Times New Roman"/>
          <w:sz w:val="24"/>
          <w:lang w:val="ro-MD"/>
        </w:rPr>
        <w:t>.</w:t>
      </w:r>
      <w:r w:rsidRPr="002D055B">
        <w:rPr>
          <w:rFonts w:ascii="Times New Roman" w:eastAsia="Times New Roman" w:hAnsi="Times New Roman"/>
          <w:sz w:val="24"/>
          <w:lang w:val="ro-MD"/>
        </w:rPr>
        <w:t xml:space="preserve"> CAINARIAN) să asigure organizarea și realizarea deciziei în cauză prin intermediul șefilor subdiviziunilor din cadrul Consiliului raional Sîngerei și Aparatul Președintelui raionului.</w:t>
      </w:r>
    </w:p>
    <w:p w:rsidR="00260A1C" w:rsidRPr="002D055B" w:rsidRDefault="00260A1C" w:rsidP="00C22C8D">
      <w:pPr>
        <w:tabs>
          <w:tab w:val="left" w:pos="851"/>
          <w:tab w:val="left" w:pos="1110"/>
        </w:tabs>
        <w:spacing w:after="0" w:line="276" w:lineRule="auto"/>
        <w:ind w:firstLine="567"/>
        <w:contextualSpacing/>
        <w:jc w:val="both"/>
        <w:rPr>
          <w:rFonts w:ascii="Times New Roman" w:eastAsia="Times New Roman" w:hAnsi="Times New Roman"/>
          <w:sz w:val="24"/>
          <w:lang w:val="ro-MD"/>
        </w:rPr>
      </w:pPr>
      <w:r w:rsidRPr="002D055B">
        <w:rPr>
          <w:rFonts w:ascii="Times New Roman" w:eastAsia="Times New Roman" w:hAnsi="Times New Roman"/>
          <w:sz w:val="24"/>
          <w:lang w:val="ro-MD"/>
        </w:rPr>
        <w:t xml:space="preserve">3. </w:t>
      </w:r>
      <w:bookmarkEnd w:id="0"/>
      <w:r w:rsidR="00E163CF" w:rsidRPr="002D055B">
        <w:rPr>
          <w:rFonts w:ascii="Times New Roman" w:eastAsia="Times New Roman" w:hAnsi="Times New Roman"/>
          <w:sz w:val="24"/>
          <w:lang w:val="ro-MD"/>
        </w:rPr>
        <w:t>Se recomandă autorităților administrației publice locale de nivelul I din teritoriul raionului Sîngerei, după caz, să coreleze strategiile locale cu prevederile prezentei Strategii, să opereze completările necesare și să asigure realizarea acesteia în domeniile care vizează probleme de interes comun cu unitățile administrativ-teritoriale respective.</w:t>
      </w:r>
    </w:p>
    <w:p w:rsidR="00260A1C" w:rsidRPr="002D055B" w:rsidRDefault="00260A1C" w:rsidP="00C22C8D">
      <w:pPr>
        <w:tabs>
          <w:tab w:val="left" w:pos="851"/>
        </w:tabs>
        <w:spacing w:after="0" w:line="276" w:lineRule="auto"/>
        <w:ind w:firstLine="567"/>
        <w:jc w:val="both"/>
        <w:rPr>
          <w:rFonts w:ascii="Times New Roman" w:hAnsi="Times New Roman"/>
          <w:sz w:val="24"/>
          <w:lang w:val="ro-MD"/>
        </w:rPr>
      </w:pPr>
      <w:r w:rsidRPr="002D055B">
        <w:rPr>
          <w:rFonts w:ascii="Times New Roman" w:hAnsi="Times New Roman"/>
          <w:sz w:val="24"/>
          <w:lang w:val="ro-MD"/>
        </w:rPr>
        <w:t>4. Responsabil</w:t>
      </w:r>
      <w:r w:rsidR="00E163CF" w:rsidRPr="002D055B">
        <w:rPr>
          <w:rFonts w:ascii="Times New Roman" w:hAnsi="Times New Roman"/>
          <w:sz w:val="24"/>
          <w:lang w:val="ro-MD"/>
        </w:rPr>
        <w:t>ă</w:t>
      </w:r>
      <w:r w:rsidRPr="002D055B">
        <w:rPr>
          <w:rFonts w:ascii="Times New Roman" w:hAnsi="Times New Roman"/>
          <w:sz w:val="24"/>
          <w:lang w:val="ro-MD"/>
        </w:rPr>
        <w:t xml:space="preserve"> de executarea prezentei decizi</w:t>
      </w:r>
      <w:r w:rsidR="00E163CF" w:rsidRPr="002D055B">
        <w:rPr>
          <w:rFonts w:ascii="Times New Roman" w:hAnsi="Times New Roman"/>
          <w:sz w:val="24"/>
          <w:lang w:val="ro-MD"/>
        </w:rPr>
        <w:t>i se desemnează vicepreședinta</w:t>
      </w:r>
      <w:r w:rsidRPr="002D055B">
        <w:rPr>
          <w:rFonts w:ascii="Times New Roman" w:hAnsi="Times New Roman"/>
          <w:sz w:val="24"/>
          <w:lang w:val="ro-MD"/>
        </w:rPr>
        <w:t xml:space="preserve"> raionului (d</w:t>
      </w:r>
      <w:r w:rsidR="00E163CF" w:rsidRPr="002D055B">
        <w:rPr>
          <w:rFonts w:ascii="Times New Roman" w:hAnsi="Times New Roman"/>
          <w:sz w:val="24"/>
          <w:lang w:val="ro-MD"/>
        </w:rPr>
        <w:t>na</w:t>
      </w:r>
      <w:r w:rsidRPr="002D055B">
        <w:rPr>
          <w:rFonts w:ascii="Times New Roman" w:hAnsi="Times New Roman"/>
          <w:sz w:val="24"/>
          <w:lang w:val="ro-MD"/>
        </w:rPr>
        <w:t xml:space="preserve"> V</w:t>
      </w:r>
      <w:r w:rsidR="00710E95" w:rsidRPr="002D055B">
        <w:rPr>
          <w:rFonts w:ascii="Times New Roman" w:hAnsi="Times New Roman"/>
          <w:sz w:val="24"/>
          <w:lang w:val="ro-MD"/>
        </w:rPr>
        <w:t>.</w:t>
      </w:r>
      <w:r w:rsidR="00E163CF" w:rsidRPr="002D055B">
        <w:rPr>
          <w:rFonts w:ascii="Times New Roman" w:hAnsi="Times New Roman"/>
          <w:sz w:val="24"/>
          <w:lang w:val="ro-MD"/>
        </w:rPr>
        <w:t xml:space="preserve"> SERBUȘCA</w:t>
      </w:r>
      <w:r w:rsidRPr="002D055B">
        <w:rPr>
          <w:rFonts w:ascii="Times New Roman" w:hAnsi="Times New Roman"/>
          <w:sz w:val="24"/>
          <w:lang w:val="ro-MD"/>
        </w:rPr>
        <w:t>).</w:t>
      </w:r>
    </w:p>
    <w:p w:rsidR="00260A1C" w:rsidRPr="002D055B" w:rsidRDefault="00260A1C" w:rsidP="00C22C8D">
      <w:pPr>
        <w:tabs>
          <w:tab w:val="left" w:pos="851"/>
        </w:tabs>
        <w:spacing w:after="0" w:line="276" w:lineRule="auto"/>
        <w:ind w:firstLine="567"/>
        <w:jc w:val="both"/>
        <w:rPr>
          <w:rFonts w:ascii="Times New Roman" w:hAnsi="Times New Roman"/>
          <w:sz w:val="24"/>
          <w:lang w:val="en-US"/>
        </w:rPr>
      </w:pPr>
      <w:r w:rsidRPr="002D055B">
        <w:rPr>
          <w:rFonts w:ascii="Times New Roman" w:hAnsi="Times New Roman"/>
          <w:sz w:val="24"/>
          <w:lang w:val="ro-MD"/>
        </w:rPr>
        <w:t>5. Controlul asupra real</w:t>
      </w:r>
      <w:proofErr w:type="spellStart"/>
      <w:r w:rsidRPr="002D055B">
        <w:rPr>
          <w:rFonts w:ascii="Times New Roman" w:hAnsi="Times New Roman"/>
          <w:sz w:val="24"/>
          <w:lang w:val="en-US"/>
        </w:rPr>
        <w:t>izării</w:t>
      </w:r>
      <w:proofErr w:type="spellEnd"/>
      <w:r w:rsidRPr="002D055B">
        <w:rPr>
          <w:rFonts w:ascii="Times New Roman" w:hAnsi="Times New Roman"/>
          <w:sz w:val="24"/>
          <w:lang w:val="en-US"/>
        </w:rPr>
        <w:t xml:space="preserve"> </w:t>
      </w:r>
      <w:proofErr w:type="spellStart"/>
      <w:r w:rsidRPr="002D055B">
        <w:rPr>
          <w:rFonts w:ascii="Times New Roman" w:hAnsi="Times New Roman"/>
          <w:sz w:val="24"/>
          <w:lang w:val="en-US"/>
        </w:rPr>
        <w:t>prezentei</w:t>
      </w:r>
      <w:proofErr w:type="spellEnd"/>
      <w:r w:rsidRPr="002D055B">
        <w:rPr>
          <w:rFonts w:ascii="Times New Roman" w:hAnsi="Times New Roman"/>
          <w:sz w:val="24"/>
          <w:lang w:val="en-US"/>
        </w:rPr>
        <w:t xml:space="preserve"> </w:t>
      </w:r>
      <w:proofErr w:type="spellStart"/>
      <w:r w:rsidRPr="002D055B">
        <w:rPr>
          <w:rFonts w:ascii="Times New Roman" w:hAnsi="Times New Roman"/>
          <w:sz w:val="24"/>
          <w:lang w:val="en-US"/>
        </w:rPr>
        <w:t>decizii</w:t>
      </w:r>
      <w:proofErr w:type="spellEnd"/>
      <w:r w:rsidRPr="002D055B">
        <w:rPr>
          <w:rFonts w:ascii="Times New Roman" w:hAnsi="Times New Roman"/>
          <w:sz w:val="24"/>
          <w:lang w:val="en-US"/>
        </w:rPr>
        <w:t xml:space="preserve"> se </w:t>
      </w:r>
      <w:proofErr w:type="spellStart"/>
      <w:r w:rsidRPr="002D055B">
        <w:rPr>
          <w:rFonts w:ascii="Times New Roman" w:hAnsi="Times New Roman"/>
          <w:sz w:val="24"/>
          <w:lang w:val="en-US"/>
        </w:rPr>
        <w:t>pune</w:t>
      </w:r>
      <w:proofErr w:type="spellEnd"/>
      <w:r w:rsidRPr="002D055B">
        <w:rPr>
          <w:rFonts w:ascii="Times New Roman" w:hAnsi="Times New Roman"/>
          <w:sz w:val="24"/>
          <w:lang w:val="en-US"/>
        </w:rPr>
        <w:t xml:space="preserve"> </w:t>
      </w:r>
      <w:proofErr w:type="spellStart"/>
      <w:r w:rsidRPr="002D055B">
        <w:rPr>
          <w:rFonts w:ascii="Times New Roman" w:hAnsi="Times New Roman"/>
          <w:sz w:val="24"/>
          <w:lang w:val="en-US"/>
        </w:rPr>
        <w:t>în</w:t>
      </w:r>
      <w:proofErr w:type="spellEnd"/>
      <w:r w:rsidRPr="002D055B">
        <w:rPr>
          <w:rFonts w:ascii="Times New Roman" w:hAnsi="Times New Roman"/>
          <w:sz w:val="24"/>
          <w:lang w:val="en-US"/>
        </w:rPr>
        <w:t xml:space="preserve"> </w:t>
      </w:r>
      <w:proofErr w:type="spellStart"/>
      <w:r w:rsidRPr="002D055B">
        <w:rPr>
          <w:rFonts w:ascii="Times New Roman" w:hAnsi="Times New Roman"/>
          <w:sz w:val="24"/>
          <w:lang w:val="en-US"/>
        </w:rPr>
        <w:t>sarcina</w:t>
      </w:r>
      <w:proofErr w:type="spellEnd"/>
      <w:r w:rsidRPr="002D055B">
        <w:rPr>
          <w:rFonts w:ascii="Times New Roman" w:hAnsi="Times New Roman"/>
          <w:sz w:val="24"/>
          <w:lang w:val="en-US"/>
        </w:rPr>
        <w:t xml:space="preserve"> </w:t>
      </w:r>
      <w:proofErr w:type="spellStart"/>
      <w:r w:rsidRPr="002D055B">
        <w:rPr>
          <w:rFonts w:ascii="Times New Roman" w:hAnsi="Times New Roman"/>
          <w:sz w:val="24"/>
          <w:lang w:val="en-US"/>
        </w:rPr>
        <w:t>Comisiei</w:t>
      </w:r>
      <w:proofErr w:type="spellEnd"/>
      <w:r w:rsidRPr="002D055B">
        <w:rPr>
          <w:rFonts w:ascii="Times New Roman" w:hAnsi="Times New Roman"/>
          <w:sz w:val="24"/>
          <w:lang w:val="en-US"/>
        </w:rPr>
        <w:t xml:space="preserve"> consultative </w:t>
      </w:r>
      <w:proofErr w:type="spellStart"/>
      <w:r w:rsidRPr="002D055B">
        <w:rPr>
          <w:rFonts w:ascii="Times New Roman" w:hAnsi="Times New Roman"/>
          <w:sz w:val="24"/>
          <w:lang w:val="en-US"/>
        </w:rPr>
        <w:t>pentru</w:t>
      </w:r>
      <w:proofErr w:type="spellEnd"/>
      <w:r w:rsidRPr="002D055B">
        <w:rPr>
          <w:rFonts w:ascii="Times New Roman" w:hAnsi="Times New Roman"/>
          <w:sz w:val="24"/>
          <w:lang w:val="en-US"/>
        </w:rPr>
        <w:t xml:space="preserve"> </w:t>
      </w:r>
      <w:proofErr w:type="spellStart"/>
      <w:r w:rsidRPr="002D055B">
        <w:rPr>
          <w:rFonts w:ascii="Times New Roman" w:hAnsi="Times New Roman"/>
          <w:sz w:val="24"/>
          <w:lang w:val="en-US"/>
        </w:rPr>
        <w:t>Economie</w:t>
      </w:r>
      <w:proofErr w:type="spellEnd"/>
      <w:r w:rsidRPr="002D055B">
        <w:rPr>
          <w:rFonts w:ascii="Times New Roman" w:hAnsi="Times New Roman"/>
          <w:sz w:val="24"/>
          <w:lang w:val="en-US"/>
        </w:rPr>
        <w:t xml:space="preserve">, </w:t>
      </w:r>
      <w:proofErr w:type="spellStart"/>
      <w:r w:rsidRPr="002D055B">
        <w:rPr>
          <w:rFonts w:ascii="Times New Roman" w:hAnsi="Times New Roman"/>
          <w:sz w:val="24"/>
          <w:lang w:val="en-US"/>
        </w:rPr>
        <w:t>finanțe</w:t>
      </w:r>
      <w:proofErr w:type="spellEnd"/>
      <w:r w:rsidRPr="002D055B">
        <w:rPr>
          <w:rFonts w:ascii="Times New Roman" w:hAnsi="Times New Roman"/>
          <w:sz w:val="24"/>
          <w:lang w:val="en-US"/>
        </w:rPr>
        <w:t xml:space="preserve"> </w:t>
      </w:r>
      <w:proofErr w:type="spellStart"/>
      <w:r w:rsidRPr="002D055B">
        <w:rPr>
          <w:rFonts w:ascii="Times New Roman" w:hAnsi="Times New Roman"/>
          <w:sz w:val="24"/>
          <w:lang w:val="en-US"/>
        </w:rPr>
        <w:t>și</w:t>
      </w:r>
      <w:proofErr w:type="spellEnd"/>
      <w:r w:rsidRPr="002D055B">
        <w:rPr>
          <w:rFonts w:ascii="Times New Roman" w:hAnsi="Times New Roman"/>
          <w:sz w:val="24"/>
          <w:lang w:val="en-US"/>
        </w:rPr>
        <w:t xml:space="preserve"> </w:t>
      </w:r>
      <w:proofErr w:type="spellStart"/>
      <w:r w:rsidRPr="002D055B">
        <w:rPr>
          <w:rFonts w:ascii="Times New Roman" w:hAnsi="Times New Roman"/>
          <w:sz w:val="24"/>
          <w:lang w:val="en-US"/>
        </w:rPr>
        <w:t>buget</w:t>
      </w:r>
      <w:proofErr w:type="spellEnd"/>
      <w:r w:rsidR="00710E95" w:rsidRPr="002D055B">
        <w:rPr>
          <w:rFonts w:ascii="Times New Roman" w:hAnsi="Times New Roman"/>
          <w:sz w:val="24"/>
          <w:lang w:val="en-US"/>
        </w:rPr>
        <w:t xml:space="preserve"> (dl N. POSTORONCĂ)</w:t>
      </w:r>
      <w:r w:rsidRPr="002D055B">
        <w:rPr>
          <w:rFonts w:ascii="Times New Roman" w:hAnsi="Times New Roman"/>
          <w:sz w:val="24"/>
          <w:lang w:val="en-US"/>
        </w:rPr>
        <w:t>.</w:t>
      </w:r>
    </w:p>
    <w:p w:rsidR="00260A1C" w:rsidRPr="002D055B" w:rsidRDefault="00260A1C" w:rsidP="00C22C8D">
      <w:pPr>
        <w:tabs>
          <w:tab w:val="left" w:pos="851"/>
        </w:tabs>
        <w:spacing w:after="0" w:line="276" w:lineRule="auto"/>
        <w:ind w:firstLine="567"/>
        <w:jc w:val="both"/>
        <w:rPr>
          <w:rFonts w:ascii="Times New Roman" w:hAnsi="Times New Roman"/>
          <w:sz w:val="24"/>
          <w:lang w:val="en-US"/>
        </w:rPr>
      </w:pPr>
      <w:r w:rsidRPr="002D055B">
        <w:rPr>
          <w:rFonts w:ascii="Times New Roman" w:hAnsi="Times New Roman"/>
          <w:sz w:val="24"/>
          <w:lang w:val="en-US"/>
        </w:rPr>
        <w:lastRenderedPageBreak/>
        <w:t xml:space="preserve">6. </w:t>
      </w:r>
      <w:proofErr w:type="spellStart"/>
      <w:r w:rsidRPr="002D055B">
        <w:rPr>
          <w:rFonts w:ascii="Times New Roman" w:hAnsi="Times New Roman"/>
          <w:sz w:val="24"/>
          <w:lang w:val="en-US"/>
        </w:rPr>
        <w:t>Prezenta</w:t>
      </w:r>
      <w:proofErr w:type="spellEnd"/>
      <w:r w:rsidRPr="002D055B">
        <w:rPr>
          <w:rFonts w:ascii="Times New Roman" w:hAnsi="Times New Roman"/>
          <w:sz w:val="24"/>
          <w:lang w:val="en-US"/>
        </w:rPr>
        <w:t xml:space="preserve"> </w:t>
      </w:r>
      <w:proofErr w:type="spellStart"/>
      <w:r w:rsidRPr="002D055B">
        <w:rPr>
          <w:rFonts w:ascii="Times New Roman" w:hAnsi="Times New Roman"/>
          <w:sz w:val="24"/>
          <w:lang w:val="en-US"/>
        </w:rPr>
        <w:t>decizie</w:t>
      </w:r>
      <w:proofErr w:type="spellEnd"/>
      <w:r w:rsidRPr="002D055B">
        <w:rPr>
          <w:rFonts w:ascii="Times New Roman" w:hAnsi="Times New Roman"/>
          <w:sz w:val="24"/>
          <w:lang w:val="en-US"/>
        </w:rPr>
        <w:t xml:space="preserve"> </w:t>
      </w:r>
      <w:proofErr w:type="spellStart"/>
      <w:r w:rsidRPr="002D055B">
        <w:rPr>
          <w:rFonts w:ascii="Times New Roman" w:hAnsi="Times New Roman"/>
          <w:sz w:val="24"/>
          <w:lang w:val="en-US"/>
        </w:rPr>
        <w:t>poate</w:t>
      </w:r>
      <w:proofErr w:type="spellEnd"/>
      <w:r w:rsidRPr="002D055B">
        <w:rPr>
          <w:rFonts w:ascii="Times New Roman" w:hAnsi="Times New Roman"/>
          <w:sz w:val="24"/>
          <w:lang w:val="en-US"/>
        </w:rPr>
        <w:t xml:space="preserve"> fi </w:t>
      </w:r>
      <w:proofErr w:type="spellStart"/>
      <w:r w:rsidRPr="002D055B">
        <w:rPr>
          <w:rFonts w:ascii="Times New Roman" w:hAnsi="Times New Roman"/>
          <w:sz w:val="24"/>
          <w:lang w:val="en-US"/>
        </w:rPr>
        <w:t>contestată</w:t>
      </w:r>
      <w:proofErr w:type="spellEnd"/>
      <w:r w:rsidRPr="002D055B">
        <w:rPr>
          <w:rFonts w:ascii="Times New Roman" w:hAnsi="Times New Roman"/>
          <w:sz w:val="24"/>
          <w:lang w:val="en-US"/>
        </w:rPr>
        <w:t xml:space="preserve"> la </w:t>
      </w:r>
      <w:proofErr w:type="spellStart"/>
      <w:r w:rsidRPr="002D055B">
        <w:rPr>
          <w:rFonts w:ascii="Times New Roman" w:hAnsi="Times New Roman"/>
          <w:sz w:val="24"/>
          <w:lang w:val="en-US"/>
        </w:rPr>
        <w:t>Judecătoria</w:t>
      </w:r>
      <w:proofErr w:type="spellEnd"/>
      <w:r w:rsidRPr="002D055B">
        <w:rPr>
          <w:rFonts w:ascii="Times New Roman" w:hAnsi="Times New Roman"/>
          <w:sz w:val="24"/>
          <w:lang w:val="en-US"/>
        </w:rPr>
        <w:t xml:space="preserve"> </w:t>
      </w:r>
      <w:proofErr w:type="spellStart"/>
      <w:r w:rsidRPr="002D055B">
        <w:rPr>
          <w:rFonts w:ascii="Times New Roman" w:hAnsi="Times New Roman"/>
          <w:sz w:val="24"/>
          <w:lang w:val="en-US"/>
        </w:rPr>
        <w:t>Bălți</w:t>
      </w:r>
      <w:proofErr w:type="spellEnd"/>
      <w:r w:rsidRPr="002D055B">
        <w:rPr>
          <w:rFonts w:ascii="Times New Roman" w:hAnsi="Times New Roman"/>
          <w:sz w:val="24"/>
          <w:lang w:val="en-US"/>
        </w:rPr>
        <w:t xml:space="preserve">, </w:t>
      </w:r>
      <w:proofErr w:type="spellStart"/>
      <w:r w:rsidRPr="002D055B">
        <w:rPr>
          <w:rFonts w:ascii="Times New Roman" w:hAnsi="Times New Roman"/>
          <w:sz w:val="24"/>
          <w:lang w:val="en-US"/>
        </w:rPr>
        <w:t>sediul</w:t>
      </w:r>
      <w:proofErr w:type="spellEnd"/>
      <w:r w:rsidRPr="002D055B">
        <w:rPr>
          <w:rFonts w:ascii="Times New Roman" w:hAnsi="Times New Roman"/>
          <w:sz w:val="24"/>
          <w:lang w:val="en-US"/>
        </w:rPr>
        <w:t xml:space="preserve"> Central, </w:t>
      </w:r>
      <w:proofErr w:type="spellStart"/>
      <w:r w:rsidRPr="002D055B">
        <w:rPr>
          <w:rFonts w:ascii="Times New Roman" w:hAnsi="Times New Roman"/>
          <w:sz w:val="24"/>
          <w:lang w:val="en-US"/>
        </w:rPr>
        <w:t>str.Hotinului</w:t>
      </w:r>
      <w:proofErr w:type="spellEnd"/>
      <w:r w:rsidRPr="002D055B">
        <w:rPr>
          <w:rFonts w:ascii="Times New Roman" w:hAnsi="Times New Roman"/>
          <w:sz w:val="24"/>
          <w:lang w:val="en-US"/>
        </w:rPr>
        <w:t xml:space="preserve">, nr.43, </w:t>
      </w:r>
      <w:proofErr w:type="spellStart"/>
      <w:r w:rsidRPr="002D055B">
        <w:rPr>
          <w:rFonts w:ascii="Times New Roman" w:hAnsi="Times New Roman"/>
          <w:sz w:val="24"/>
          <w:lang w:val="en-US"/>
        </w:rPr>
        <w:t>în</w:t>
      </w:r>
      <w:proofErr w:type="spellEnd"/>
      <w:r w:rsidRPr="002D055B">
        <w:rPr>
          <w:rFonts w:ascii="Times New Roman" w:hAnsi="Times New Roman"/>
          <w:sz w:val="24"/>
          <w:lang w:val="en-US"/>
        </w:rPr>
        <w:t xml:space="preserve"> </w:t>
      </w:r>
      <w:proofErr w:type="spellStart"/>
      <w:r w:rsidRPr="002D055B">
        <w:rPr>
          <w:rFonts w:ascii="Times New Roman" w:hAnsi="Times New Roman"/>
          <w:sz w:val="24"/>
          <w:lang w:val="en-US"/>
        </w:rPr>
        <w:t>termen</w:t>
      </w:r>
      <w:proofErr w:type="spellEnd"/>
      <w:r w:rsidRPr="002D055B">
        <w:rPr>
          <w:rFonts w:ascii="Times New Roman" w:hAnsi="Times New Roman"/>
          <w:sz w:val="24"/>
          <w:lang w:val="en-US"/>
        </w:rPr>
        <w:t xml:space="preserve"> de 30 </w:t>
      </w:r>
      <w:proofErr w:type="spellStart"/>
      <w:r w:rsidRPr="002D055B">
        <w:rPr>
          <w:rFonts w:ascii="Times New Roman" w:hAnsi="Times New Roman"/>
          <w:sz w:val="24"/>
          <w:lang w:val="en-US"/>
        </w:rPr>
        <w:t>zile</w:t>
      </w:r>
      <w:proofErr w:type="spellEnd"/>
      <w:r w:rsidRPr="002D055B">
        <w:rPr>
          <w:rFonts w:ascii="Times New Roman" w:hAnsi="Times New Roman"/>
          <w:sz w:val="24"/>
          <w:lang w:val="en-US"/>
        </w:rPr>
        <w:t xml:space="preserve"> de la data </w:t>
      </w:r>
      <w:proofErr w:type="spellStart"/>
      <w:r w:rsidRPr="002D055B">
        <w:rPr>
          <w:rFonts w:ascii="Times New Roman" w:hAnsi="Times New Roman"/>
          <w:sz w:val="24"/>
          <w:lang w:val="en-US"/>
        </w:rPr>
        <w:t>publicării</w:t>
      </w:r>
      <w:proofErr w:type="spellEnd"/>
      <w:r w:rsidRPr="002D055B">
        <w:rPr>
          <w:rFonts w:ascii="Times New Roman" w:hAnsi="Times New Roman"/>
          <w:sz w:val="24"/>
          <w:lang w:val="en-US"/>
        </w:rPr>
        <w:t xml:space="preserve">, </w:t>
      </w:r>
      <w:proofErr w:type="spellStart"/>
      <w:r w:rsidRPr="002D055B">
        <w:rPr>
          <w:rFonts w:ascii="Times New Roman" w:hAnsi="Times New Roman"/>
          <w:sz w:val="24"/>
          <w:lang w:val="en-US"/>
        </w:rPr>
        <w:t>potrivit</w:t>
      </w:r>
      <w:proofErr w:type="spellEnd"/>
      <w:r w:rsidRPr="002D055B">
        <w:rPr>
          <w:rFonts w:ascii="Times New Roman" w:hAnsi="Times New Roman"/>
          <w:sz w:val="24"/>
          <w:lang w:val="en-US"/>
        </w:rPr>
        <w:t xml:space="preserve"> </w:t>
      </w:r>
      <w:proofErr w:type="spellStart"/>
      <w:r w:rsidRPr="002D055B">
        <w:rPr>
          <w:rFonts w:ascii="Times New Roman" w:hAnsi="Times New Roman"/>
          <w:sz w:val="24"/>
          <w:lang w:val="en-US"/>
        </w:rPr>
        <w:t>prevederilor</w:t>
      </w:r>
      <w:proofErr w:type="spellEnd"/>
      <w:r w:rsidRPr="002D055B">
        <w:rPr>
          <w:rFonts w:ascii="Times New Roman" w:hAnsi="Times New Roman"/>
          <w:sz w:val="24"/>
          <w:lang w:val="en-US"/>
        </w:rPr>
        <w:t xml:space="preserve"> </w:t>
      </w:r>
      <w:proofErr w:type="spellStart"/>
      <w:r w:rsidRPr="002D055B">
        <w:rPr>
          <w:rFonts w:ascii="Times New Roman" w:hAnsi="Times New Roman"/>
          <w:sz w:val="24"/>
          <w:lang w:val="en-US"/>
        </w:rPr>
        <w:t>Codului</w:t>
      </w:r>
      <w:proofErr w:type="spellEnd"/>
      <w:r w:rsidRPr="002D055B">
        <w:rPr>
          <w:rFonts w:ascii="Times New Roman" w:hAnsi="Times New Roman"/>
          <w:sz w:val="24"/>
          <w:lang w:val="en-US"/>
        </w:rPr>
        <w:t xml:space="preserve"> </w:t>
      </w:r>
      <w:proofErr w:type="spellStart"/>
      <w:r w:rsidRPr="002D055B">
        <w:rPr>
          <w:rFonts w:ascii="Times New Roman" w:hAnsi="Times New Roman"/>
          <w:sz w:val="24"/>
          <w:lang w:val="en-US"/>
        </w:rPr>
        <w:t>Administrativ</w:t>
      </w:r>
      <w:proofErr w:type="spellEnd"/>
      <w:r w:rsidRPr="002D055B">
        <w:rPr>
          <w:rFonts w:ascii="Times New Roman" w:hAnsi="Times New Roman"/>
          <w:sz w:val="24"/>
          <w:lang w:val="en-US"/>
        </w:rPr>
        <w:t xml:space="preserve"> al </w:t>
      </w:r>
      <w:proofErr w:type="spellStart"/>
      <w:r w:rsidRPr="002D055B">
        <w:rPr>
          <w:rFonts w:ascii="Times New Roman" w:hAnsi="Times New Roman"/>
          <w:sz w:val="24"/>
          <w:lang w:val="en-US"/>
        </w:rPr>
        <w:t>R.Moldova</w:t>
      </w:r>
      <w:proofErr w:type="spellEnd"/>
      <w:r w:rsidRPr="002D055B">
        <w:rPr>
          <w:rFonts w:ascii="Times New Roman" w:hAnsi="Times New Roman"/>
          <w:sz w:val="24"/>
          <w:lang w:val="en-US"/>
        </w:rPr>
        <w:t xml:space="preserve"> </w:t>
      </w:r>
      <w:proofErr w:type="spellStart"/>
      <w:r w:rsidRPr="002D055B">
        <w:rPr>
          <w:rFonts w:ascii="Times New Roman" w:hAnsi="Times New Roman"/>
          <w:sz w:val="24"/>
          <w:lang w:val="en-US"/>
        </w:rPr>
        <w:t>nr</w:t>
      </w:r>
      <w:proofErr w:type="spellEnd"/>
      <w:r w:rsidRPr="002D055B">
        <w:rPr>
          <w:rFonts w:ascii="Times New Roman" w:hAnsi="Times New Roman"/>
          <w:sz w:val="24"/>
          <w:lang w:val="en-US"/>
        </w:rPr>
        <w:t>.</w:t>
      </w:r>
      <w:r w:rsidR="002D055B">
        <w:rPr>
          <w:rFonts w:ascii="Times New Roman" w:hAnsi="Times New Roman"/>
          <w:sz w:val="24"/>
          <w:lang w:val="en-US"/>
        </w:rPr>
        <w:t xml:space="preserve"> </w:t>
      </w:r>
      <w:r w:rsidRPr="002D055B">
        <w:rPr>
          <w:rFonts w:ascii="Times New Roman" w:hAnsi="Times New Roman"/>
          <w:sz w:val="24"/>
          <w:lang w:val="en-US"/>
        </w:rPr>
        <w:t>116/2018.</w:t>
      </w:r>
    </w:p>
    <w:p w:rsidR="00710E95" w:rsidRDefault="00710E95" w:rsidP="002D055B">
      <w:pPr>
        <w:tabs>
          <w:tab w:val="left" w:pos="1134"/>
        </w:tabs>
        <w:spacing w:after="0" w:line="240" w:lineRule="auto"/>
        <w:ind w:firstLine="567"/>
        <w:contextualSpacing/>
        <w:jc w:val="center"/>
        <w:rPr>
          <w:rFonts w:ascii="Times New Roman" w:eastAsia="Times New Roman" w:hAnsi="Times New Roman"/>
          <w:b/>
          <w:lang w:val="ro-MD" w:eastAsia="ru-RU"/>
        </w:rPr>
      </w:pPr>
    </w:p>
    <w:p w:rsidR="002D055B" w:rsidRPr="002D055B" w:rsidRDefault="002D055B" w:rsidP="002D055B">
      <w:pPr>
        <w:tabs>
          <w:tab w:val="left" w:pos="1110"/>
        </w:tabs>
        <w:spacing w:after="0" w:line="240" w:lineRule="auto"/>
        <w:contextualSpacing/>
        <w:jc w:val="both"/>
        <w:rPr>
          <w:rFonts w:ascii="Times New Roman" w:eastAsia="Times New Roman" w:hAnsi="Times New Roman"/>
          <w:b/>
          <w:lang w:val="it-IT" w:eastAsia="ru-RU"/>
        </w:rPr>
      </w:pPr>
      <w:r w:rsidRPr="002D055B">
        <w:rPr>
          <w:rFonts w:ascii="Times New Roman" w:eastAsia="Times New Roman" w:hAnsi="Times New Roman"/>
          <w:b/>
          <w:lang w:val="it-IT" w:eastAsia="ru-RU"/>
        </w:rPr>
        <w:t>Preşedintele şedinţei</w:t>
      </w:r>
      <w:r w:rsidRPr="002D055B">
        <w:rPr>
          <w:rFonts w:ascii="Times New Roman" w:eastAsia="Times New Roman" w:hAnsi="Times New Roman"/>
          <w:b/>
          <w:lang w:val="it-IT" w:eastAsia="ru-RU"/>
        </w:rPr>
        <w:tab/>
      </w:r>
      <w:r w:rsidRPr="002D055B">
        <w:rPr>
          <w:rFonts w:ascii="Times New Roman" w:eastAsia="Times New Roman" w:hAnsi="Times New Roman"/>
          <w:b/>
          <w:lang w:val="it-IT" w:eastAsia="ru-RU"/>
        </w:rPr>
        <w:tab/>
        <w:t xml:space="preserve">                                               </w:t>
      </w:r>
      <w:r>
        <w:rPr>
          <w:rFonts w:ascii="Times New Roman" w:eastAsia="Times New Roman" w:hAnsi="Times New Roman"/>
          <w:b/>
          <w:lang w:val="it-IT" w:eastAsia="ru-RU"/>
        </w:rPr>
        <w:t xml:space="preserve">             </w:t>
      </w:r>
      <w:r w:rsidRPr="002D055B">
        <w:rPr>
          <w:rFonts w:ascii="Times New Roman" w:eastAsia="Times New Roman" w:hAnsi="Times New Roman"/>
          <w:b/>
          <w:lang w:val="it-IT" w:eastAsia="ru-RU"/>
        </w:rPr>
        <w:t xml:space="preserve">                                 Tudor MOCANU</w:t>
      </w:r>
    </w:p>
    <w:p w:rsidR="002D055B" w:rsidRPr="002D055B" w:rsidRDefault="002D055B" w:rsidP="002D055B">
      <w:pPr>
        <w:tabs>
          <w:tab w:val="left" w:pos="1110"/>
        </w:tabs>
        <w:spacing w:after="0" w:line="240" w:lineRule="auto"/>
        <w:ind w:firstLine="567"/>
        <w:contextualSpacing/>
        <w:rPr>
          <w:rFonts w:ascii="Times New Roman" w:eastAsia="Times New Roman" w:hAnsi="Times New Roman"/>
          <w:b/>
          <w:lang w:val="it-IT" w:eastAsia="ru-RU"/>
        </w:rPr>
      </w:pPr>
    </w:p>
    <w:p w:rsidR="002D055B" w:rsidRPr="002D055B" w:rsidRDefault="002D055B" w:rsidP="002D055B">
      <w:pPr>
        <w:tabs>
          <w:tab w:val="left" w:pos="1110"/>
        </w:tabs>
        <w:spacing w:after="0" w:line="240" w:lineRule="auto"/>
        <w:contextualSpacing/>
        <w:rPr>
          <w:rFonts w:ascii="Times New Roman" w:eastAsia="Times New Roman" w:hAnsi="Times New Roman"/>
          <w:b/>
          <w:lang w:val="it-IT" w:eastAsia="ru-RU"/>
        </w:rPr>
      </w:pPr>
      <w:r w:rsidRPr="002D055B">
        <w:rPr>
          <w:rFonts w:ascii="Times New Roman" w:eastAsia="Times New Roman" w:hAnsi="Times New Roman"/>
          <w:b/>
          <w:lang w:val="it-IT" w:eastAsia="ru-RU"/>
        </w:rPr>
        <w:t>CONTRASEMNAT:</w:t>
      </w:r>
    </w:p>
    <w:p w:rsidR="00260A1C" w:rsidRPr="002D055B" w:rsidRDefault="002D055B" w:rsidP="002D055B">
      <w:pPr>
        <w:tabs>
          <w:tab w:val="left" w:pos="1110"/>
        </w:tabs>
        <w:spacing w:after="0" w:line="240" w:lineRule="auto"/>
        <w:contextualSpacing/>
        <w:rPr>
          <w:rFonts w:ascii="Times New Roman" w:eastAsia="Times New Roman" w:hAnsi="Times New Roman"/>
          <w:b/>
          <w:lang w:val="it-IT" w:eastAsia="ru-RU"/>
        </w:rPr>
      </w:pPr>
      <w:r w:rsidRPr="002D055B">
        <w:rPr>
          <w:rFonts w:ascii="Times New Roman" w:eastAsia="Times New Roman" w:hAnsi="Times New Roman"/>
          <w:b/>
          <w:lang w:val="it-IT" w:eastAsia="ru-RU"/>
        </w:rPr>
        <w:t xml:space="preserve">Secretara interimară a  Consiliului raional                                                   </w:t>
      </w:r>
      <w:r>
        <w:rPr>
          <w:rFonts w:ascii="Times New Roman" w:eastAsia="Times New Roman" w:hAnsi="Times New Roman"/>
          <w:b/>
          <w:lang w:val="it-IT" w:eastAsia="ru-RU"/>
        </w:rPr>
        <w:t xml:space="preserve">               </w:t>
      </w:r>
      <w:r w:rsidRPr="002D055B">
        <w:rPr>
          <w:rFonts w:ascii="Times New Roman" w:eastAsia="Times New Roman" w:hAnsi="Times New Roman"/>
          <w:b/>
          <w:lang w:val="it-IT" w:eastAsia="ru-RU"/>
        </w:rPr>
        <w:t xml:space="preserve">  Angela MIHALIUC</w:t>
      </w:r>
    </w:p>
    <w:p w:rsidR="00C22C8D" w:rsidRDefault="00C22C8D" w:rsidP="00C22C8D">
      <w:pPr>
        <w:tabs>
          <w:tab w:val="left" w:pos="1110"/>
        </w:tabs>
        <w:spacing w:after="0" w:line="240" w:lineRule="auto"/>
        <w:contextualSpacing/>
        <w:rPr>
          <w:rFonts w:ascii="Times New Roman" w:eastAsia="Times New Roman" w:hAnsi="Times New Roman"/>
          <w:b/>
          <w:lang w:val="it-IT" w:eastAsia="ru-RU"/>
        </w:rPr>
      </w:pPr>
    </w:p>
    <w:p w:rsidR="00C22C8D" w:rsidRPr="00C22C8D" w:rsidRDefault="00C22C8D" w:rsidP="00C22C8D">
      <w:pPr>
        <w:tabs>
          <w:tab w:val="left" w:pos="1110"/>
        </w:tabs>
        <w:spacing w:after="0" w:line="240" w:lineRule="auto"/>
        <w:contextualSpacing/>
        <w:rPr>
          <w:rFonts w:ascii="Times New Roman" w:eastAsia="Times New Roman" w:hAnsi="Times New Roman"/>
          <w:b/>
          <w:i/>
          <w:lang w:val="it-IT" w:eastAsia="ru-RU"/>
        </w:rPr>
      </w:pPr>
      <w:r w:rsidRPr="00C22C8D">
        <w:rPr>
          <w:rFonts w:ascii="Times New Roman" w:eastAsia="Times New Roman" w:hAnsi="Times New Roman"/>
          <w:b/>
          <w:i/>
          <w:lang w:val="it-IT" w:eastAsia="ru-RU"/>
        </w:rPr>
        <w:t xml:space="preserve">Conform originalului </w:t>
      </w:r>
    </w:p>
    <w:p w:rsidR="002D055B" w:rsidRPr="00C22C8D" w:rsidRDefault="00C22C8D" w:rsidP="00C22C8D">
      <w:pPr>
        <w:tabs>
          <w:tab w:val="left" w:pos="1110"/>
        </w:tabs>
        <w:spacing w:after="0" w:line="240" w:lineRule="auto"/>
        <w:contextualSpacing/>
        <w:rPr>
          <w:rFonts w:ascii="Times New Roman" w:eastAsia="Times New Roman" w:hAnsi="Times New Roman"/>
          <w:b/>
          <w:lang w:val="it-IT" w:eastAsia="ru-RU"/>
        </w:rPr>
      </w:pPr>
      <w:r w:rsidRPr="00C22C8D">
        <w:rPr>
          <w:rFonts w:ascii="Times New Roman" w:eastAsia="Times New Roman" w:hAnsi="Times New Roman"/>
          <w:b/>
          <w:lang w:val="it-IT" w:eastAsia="ru-RU"/>
        </w:rPr>
        <w:t>Secretară interimară a Consiliului raional</w:t>
      </w:r>
      <w:r w:rsidRPr="00C22C8D">
        <w:rPr>
          <w:rFonts w:ascii="Times New Roman" w:eastAsia="Times New Roman" w:hAnsi="Times New Roman"/>
          <w:b/>
          <w:lang w:val="it-IT" w:eastAsia="ru-RU"/>
        </w:rPr>
        <w:tab/>
        <w:t xml:space="preserve">                                           </w:t>
      </w:r>
      <w:r>
        <w:rPr>
          <w:rFonts w:ascii="Times New Roman" w:eastAsia="Times New Roman" w:hAnsi="Times New Roman"/>
          <w:b/>
          <w:lang w:val="it-IT" w:eastAsia="ru-RU"/>
        </w:rPr>
        <w:t xml:space="preserve">                    </w:t>
      </w:r>
      <w:r w:rsidRPr="00C22C8D">
        <w:rPr>
          <w:rFonts w:ascii="Times New Roman" w:eastAsia="Times New Roman" w:hAnsi="Times New Roman"/>
          <w:b/>
          <w:lang w:val="it-IT" w:eastAsia="ru-RU"/>
        </w:rPr>
        <w:t>Angela MIHALIUC</w:t>
      </w:r>
    </w:p>
    <w:p w:rsidR="002D055B" w:rsidRDefault="002D055B"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C22C8D" w:rsidRDefault="00C22C8D" w:rsidP="00260A1C">
      <w:pPr>
        <w:tabs>
          <w:tab w:val="left" w:pos="1110"/>
        </w:tabs>
        <w:spacing w:after="0" w:line="240" w:lineRule="auto"/>
        <w:contextualSpacing/>
        <w:jc w:val="right"/>
        <w:rPr>
          <w:rFonts w:ascii="Times New Roman" w:eastAsia="Times New Roman" w:hAnsi="Times New Roman"/>
          <w:b/>
          <w:lang w:val="ro-MD" w:eastAsia="ru-RU"/>
        </w:rPr>
      </w:pPr>
    </w:p>
    <w:p w:rsidR="00260A1C" w:rsidRDefault="00260A1C" w:rsidP="00260A1C">
      <w:pPr>
        <w:tabs>
          <w:tab w:val="left" w:pos="1110"/>
        </w:tabs>
        <w:spacing w:after="0" w:line="240" w:lineRule="auto"/>
        <w:contextualSpacing/>
        <w:jc w:val="right"/>
        <w:rPr>
          <w:rFonts w:ascii="Times New Roman" w:eastAsia="Times New Roman" w:hAnsi="Times New Roman"/>
          <w:b/>
          <w:lang w:val="ro-MD" w:eastAsia="ru-RU"/>
        </w:rPr>
      </w:pPr>
      <w:bookmarkStart w:id="1" w:name="_GoBack"/>
      <w:bookmarkEnd w:id="1"/>
      <w:r>
        <w:rPr>
          <w:rFonts w:ascii="Times New Roman" w:eastAsia="Times New Roman" w:hAnsi="Times New Roman"/>
          <w:b/>
          <w:lang w:val="ro-MD" w:eastAsia="ru-RU"/>
        </w:rPr>
        <w:lastRenderedPageBreak/>
        <w:t>Anexa nr.</w:t>
      </w:r>
      <w:r w:rsidR="00A82769">
        <w:rPr>
          <w:rFonts w:ascii="Times New Roman" w:eastAsia="Times New Roman" w:hAnsi="Times New Roman"/>
          <w:b/>
          <w:lang w:val="ro-MD" w:eastAsia="ru-RU"/>
        </w:rPr>
        <w:t xml:space="preserve"> </w:t>
      </w:r>
      <w:r>
        <w:rPr>
          <w:rFonts w:ascii="Times New Roman" w:eastAsia="Times New Roman" w:hAnsi="Times New Roman"/>
          <w:b/>
          <w:lang w:val="ro-MD" w:eastAsia="ru-RU"/>
        </w:rPr>
        <w:t xml:space="preserve">1 </w:t>
      </w:r>
    </w:p>
    <w:p w:rsidR="00260A1C" w:rsidRDefault="00260A1C" w:rsidP="00260A1C">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t xml:space="preserve">la </w:t>
      </w:r>
      <w:r w:rsidR="00A82769">
        <w:rPr>
          <w:rFonts w:ascii="Times New Roman" w:eastAsia="Times New Roman" w:hAnsi="Times New Roman"/>
          <w:b/>
          <w:lang w:val="ro-MD" w:eastAsia="ru-RU"/>
        </w:rPr>
        <w:t xml:space="preserve">Decizia nr. </w:t>
      </w:r>
      <w:r w:rsidR="00A82769">
        <w:rPr>
          <w:rFonts w:ascii="Times New Roman" w:eastAsia="Times New Roman" w:hAnsi="Times New Roman"/>
          <w:b/>
          <w:u w:val="single"/>
          <w:lang w:val="ro-MD" w:eastAsia="ru-RU"/>
        </w:rPr>
        <w:t>2/15</w:t>
      </w:r>
      <w:r>
        <w:rPr>
          <w:rFonts w:ascii="Times New Roman" w:eastAsia="Times New Roman" w:hAnsi="Times New Roman"/>
          <w:b/>
          <w:lang w:val="ro-MD" w:eastAsia="ru-RU"/>
        </w:rPr>
        <w:t xml:space="preserve"> </w:t>
      </w:r>
    </w:p>
    <w:p w:rsidR="00260A1C" w:rsidRDefault="00260A1C" w:rsidP="00260A1C">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t>din ,,_</w:t>
      </w:r>
      <w:r w:rsidR="00A82769">
        <w:rPr>
          <w:rFonts w:ascii="Times New Roman" w:eastAsia="Times New Roman" w:hAnsi="Times New Roman"/>
          <w:b/>
          <w:u w:val="single"/>
          <w:lang w:val="ro-MD" w:eastAsia="ru-RU"/>
        </w:rPr>
        <w:t>30</w:t>
      </w:r>
      <w:r w:rsidR="00A82769">
        <w:rPr>
          <w:rFonts w:ascii="Times New Roman" w:eastAsia="Times New Roman" w:hAnsi="Times New Roman"/>
          <w:b/>
          <w:lang w:val="ro-MD" w:eastAsia="ru-RU"/>
        </w:rPr>
        <w:t>_,,</w:t>
      </w:r>
      <w:r>
        <w:rPr>
          <w:rFonts w:ascii="Times New Roman" w:eastAsia="Times New Roman" w:hAnsi="Times New Roman"/>
          <w:b/>
          <w:lang w:val="ro-MD" w:eastAsia="ru-RU"/>
        </w:rPr>
        <w:t>_</w:t>
      </w:r>
      <w:r w:rsidR="00A82769">
        <w:rPr>
          <w:rFonts w:ascii="Times New Roman" w:eastAsia="Times New Roman" w:hAnsi="Times New Roman"/>
          <w:b/>
          <w:u w:val="single"/>
          <w:lang w:val="ro-MD" w:eastAsia="ru-RU"/>
        </w:rPr>
        <w:t>martie</w:t>
      </w:r>
      <w:r>
        <w:rPr>
          <w:rFonts w:ascii="Times New Roman" w:eastAsia="Times New Roman" w:hAnsi="Times New Roman"/>
          <w:b/>
          <w:lang w:val="ro-MD" w:eastAsia="ru-RU"/>
        </w:rPr>
        <w:t>_202</w:t>
      </w:r>
      <w:r w:rsidR="00710E95">
        <w:rPr>
          <w:rFonts w:ascii="Times New Roman" w:eastAsia="Times New Roman" w:hAnsi="Times New Roman"/>
          <w:b/>
          <w:lang w:val="ro-MD" w:eastAsia="ru-RU"/>
        </w:rPr>
        <w:t>6</w:t>
      </w:r>
    </w:p>
    <w:p w:rsidR="00260A1C" w:rsidRDefault="00260A1C" w:rsidP="00260A1C">
      <w:pPr>
        <w:tabs>
          <w:tab w:val="left" w:pos="1110"/>
        </w:tabs>
        <w:spacing w:after="0" w:line="240" w:lineRule="auto"/>
        <w:contextualSpacing/>
        <w:rPr>
          <w:rFonts w:ascii="Times New Roman" w:eastAsia="Times New Roman" w:hAnsi="Times New Roman"/>
          <w:b/>
          <w:lang w:val="ro-MD" w:eastAsia="ru-RU"/>
        </w:rPr>
      </w:pPr>
    </w:p>
    <w:p w:rsidR="00260A1C" w:rsidRDefault="00260A1C" w:rsidP="00260A1C">
      <w:pPr>
        <w:tabs>
          <w:tab w:val="left" w:pos="1110"/>
        </w:tabs>
        <w:spacing w:after="0" w:line="240" w:lineRule="auto"/>
        <w:contextualSpacing/>
        <w:rPr>
          <w:rFonts w:ascii="Times New Roman" w:eastAsia="Times New Roman" w:hAnsi="Times New Roman"/>
          <w:b/>
          <w:lang w:val="ro-MD" w:eastAsia="ru-RU"/>
        </w:rPr>
      </w:pPr>
    </w:p>
    <w:p w:rsidR="00260A1C" w:rsidRPr="00284AF5" w:rsidRDefault="00260A1C" w:rsidP="00260A1C">
      <w:pPr>
        <w:spacing w:after="120" w:line="276" w:lineRule="auto"/>
        <w:jc w:val="both"/>
        <w:rPr>
          <w:rFonts w:ascii="Times New Roman" w:eastAsia="Times New Roman" w:hAnsi="Times New Roman"/>
          <w:b/>
          <w:bCs/>
          <w:sz w:val="24"/>
          <w:szCs w:val="24"/>
          <w:lang w:val="ro" w:eastAsia="ru-RU"/>
        </w:rPr>
      </w:pPr>
      <w:r w:rsidRPr="00284AF5">
        <w:rPr>
          <w:rFonts w:ascii="Times New Roman" w:eastAsia="Times New Roman" w:hAnsi="Times New Roman"/>
          <w:b/>
          <w:bCs/>
          <w:sz w:val="24"/>
          <w:szCs w:val="24"/>
          <w:lang w:val="ro" w:eastAsia="ru-RU"/>
        </w:rPr>
        <w:t>Capitolul II. Profilul Socio-Economic al Raionului</w:t>
      </w:r>
      <w:r w:rsidR="00710E95">
        <w:rPr>
          <w:rFonts w:ascii="Times New Roman" w:eastAsia="Times New Roman" w:hAnsi="Times New Roman"/>
          <w:b/>
          <w:bCs/>
          <w:sz w:val="24"/>
          <w:szCs w:val="24"/>
          <w:lang w:val="ro" w:eastAsia="ru-RU"/>
        </w:rPr>
        <w:t xml:space="preserve"> Sîngerei</w:t>
      </w:r>
    </w:p>
    <w:p w:rsidR="00260A1C" w:rsidRPr="00284AF5" w:rsidRDefault="00260A1C" w:rsidP="00260A1C">
      <w:pPr>
        <w:spacing w:after="120" w:line="276" w:lineRule="auto"/>
        <w:jc w:val="both"/>
        <w:rPr>
          <w:rFonts w:ascii="Times New Roman" w:eastAsia="Times New Roman" w:hAnsi="Times New Roman"/>
          <w:b/>
          <w:bCs/>
          <w:sz w:val="24"/>
          <w:szCs w:val="24"/>
          <w:lang w:val="ro" w:eastAsia="ru-RU"/>
        </w:rPr>
      </w:pPr>
      <w:r w:rsidRPr="00284AF5">
        <w:rPr>
          <w:rFonts w:ascii="Times New Roman" w:eastAsia="Times New Roman" w:hAnsi="Times New Roman"/>
          <w:b/>
          <w:bCs/>
          <w:sz w:val="24"/>
          <w:szCs w:val="24"/>
          <w:lang w:val="ro" w:eastAsia="ru-RU"/>
        </w:rPr>
        <w:t>2.11 Tineret și sport</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Sectorul tineretului și sportului reprezintă o componentă esențială în dezvoltarea socio-economică a raionului Sîngerei, contribuind atât la formarea unei generații active și responsabile, cât și la promovarea unui mod de viață sănătos în rândul populației. Sportul este considerat unul dintre principiile fundamentale pentru menținerea sănătății și a vitalității comunității, iar dezvoltarea infrastructurii și activităților sportive este o prioritate strategică pentru autoritățile locale.</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Rețeaua actuală de construcții sportive include stadioane, terenuri și săli sportive, majoritatea fiind amplasate în incinta instituțiilor de învățământ. Cu toate acestea, multe dintre aceste obiective necesită renovare și modernizare pentru a răspunde cerințelor actuale. Serviciul Tineret și Sport, structură subordonată</w:t>
      </w:r>
      <w:r>
        <w:rPr>
          <w:rFonts w:ascii="Times New Roman" w:eastAsia="Times New Roman" w:hAnsi="Times New Roman"/>
          <w:sz w:val="24"/>
          <w:szCs w:val="24"/>
          <w:lang w:val="ro" w:eastAsia="ru-RU"/>
        </w:rPr>
        <w:t xml:space="preserve"> Aparatului Președintelui raionului din cadrul </w:t>
      </w:r>
      <w:r w:rsidRPr="00284AF5">
        <w:rPr>
          <w:rFonts w:ascii="Times New Roman" w:eastAsia="Times New Roman" w:hAnsi="Times New Roman"/>
          <w:sz w:val="24"/>
          <w:szCs w:val="24"/>
          <w:lang w:val="ro" w:eastAsia="ru-RU"/>
        </w:rPr>
        <w:t xml:space="preserve"> Consiliului Raional Sîngerei, asigură implementarea politicilor de stat în domeniul tineretului și sportului, în cooperare cu autoritățile publice locale, instituțiile de învățământ, organizațiile sportive și structurile de tineret.</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Prin activitățile desfășurate, Serviciul promovează participarea activă a tinerilor în viața socială, culturală și sportivă, susținând inițiativele orientate spre dezvoltarea lor personală și profesională. Sportul și viața activă sunt valori puternic cultivate în raion, activitățile desfășurându-se în funcție de resursele și preferințele comunităților locale. Popularitatea crescută a fotbalului, precum și organizarea periodică de campionate, turnee și evenimente sportive contribuie la coeziunea socială și la consolidarea imaginii raionului la nivel regional și național.</w:t>
      </w:r>
    </w:p>
    <w:p w:rsidR="00260A1C" w:rsidRPr="00284AF5" w:rsidRDefault="00260A1C" w:rsidP="00260A1C">
      <w:pPr>
        <w:spacing w:after="120" w:line="276" w:lineRule="auto"/>
        <w:jc w:val="both"/>
        <w:rPr>
          <w:rFonts w:ascii="Times New Roman" w:eastAsia="Times New Roman" w:hAnsi="Times New Roman"/>
          <w:b/>
          <w:bCs/>
          <w:i/>
          <w:iCs/>
          <w:sz w:val="24"/>
          <w:szCs w:val="24"/>
          <w:u w:val="single"/>
          <w:lang w:val="ro" w:eastAsia="ru-RU"/>
        </w:rPr>
      </w:pPr>
      <w:r w:rsidRPr="00284AF5">
        <w:rPr>
          <w:rFonts w:ascii="Times New Roman" w:eastAsia="Times New Roman" w:hAnsi="Times New Roman"/>
          <w:b/>
          <w:bCs/>
          <w:i/>
          <w:iCs/>
          <w:sz w:val="24"/>
          <w:szCs w:val="24"/>
          <w:u w:val="single"/>
          <w:lang w:val="ro" w:eastAsia="ru-RU"/>
        </w:rPr>
        <w:t>Componenta 1: Sport</w:t>
      </w:r>
    </w:p>
    <w:p w:rsidR="00260A1C" w:rsidRPr="00284AF5" w:rsidRDefault="00260A1C" w:rsidP="00260A1C">
      <w:pPr>
        <w:widowControl w:val="0"/>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i/>
          <w:iCs/>
          <w:sz w:val="24"/>
          <w:szCs w:val="24"/>
          <w:lang w:val="ro" w:eastAsia="ru-RU"/>
        </w:rPr>
        <w:t>Profilul sectorului sportiv în raionul Sîngerei:</w:t>
      </w:r>
      <w:r w:rsidRPr="00284AF5">
        <w:rPr>
          <w:rFonts w:ascii="Times New Roman" w:eastAsia="Times New Roman" w:hAnsi="Times New Roman"/>
          <w:sz w:val="24"/>
          <w:szCs w:val="24"/>
          <w:lang w:val="ro" w:eastAsia="ru-RU"/>
        </w:rPr>
        <w:t xml:space="preserve"> Sportul joacă un rol esențial în promovarea unui stil de viață sănătos în rândul populației raionului Sîngerei. Rețeaua de infrastructură sportivă cuprinde stadioane, săli și terenuri sportive, majoritatea fiind amplasate pe lângă instituțiile de învățământ. Totuși, o parte semnificativă a acestor obiective necesită modernizări pentru a corespunde standardelor actuale.</w:t>
      </w:r>
    </w:p>
    <w:p w:rsidR="00260A1C" w:rsidRPr="00284AF5" w:rsidRDefault="00260A1C" w:rsidP="00260A1C">
      <w:pPr>
        <w:widowControl w:val="0"/>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Serviciul Tineret și Sport al Consiliului Raional are responsabilitatea de a implementa politica de stat în domeniul sportului, colaborând cu autoritățile publice locale, asociațiile sportive și instituțiile educaționale. Printre atribuțiile sale se regăsesc:</w:t>
      </w:r>
      <w:r>
        <w:rPr>
          <w:noProof/>
          <w:lang w:eastAsia="ru-RU"/>
        </w:rPr>
        <w:drawing>
          <wp:anchor distT="0" distB="0" distL="0" distR="0" simplePos="0" relativeHeight="251661312" behindDoc="0" locked="0" layoutInCell="1" allowOverlap="1">
            <wp:simplePos x="0" y="0"/>
            <wp:positionH relativeFrom="column">
              <wp:posOffset>4029075</wp:posOffset>
            </wp:positionH>
            <wp:positionV relativeFrom="paragraph">
              <wp:posOffset>19050</wp:posOffset>
            </wp:positionV>
            <wp:extent cx="2145665" cy="2858770"/>
            <wp:effectExtent l="0" t="0" r="6985"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5665" cy="2858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A1C" w:rsidRPr="00284AF5" w:rsidRDefault="00260A1C" w:rsidP="00260A1C">
      <w:pPr>
        <w:widowControl w:val="0"/>
        <w:numPr>
          <w:ilvl w:val="0"/>
          <w:numId w:val="2"/>
        </w:num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organizarea de competiții sportive și coordonarea asociațiilor sportive din teritoriu;</w:t>
      </w:r>
    </w:p>
    <w:p w:rsidR="00260A1C" w:rsidRPr="00284AF5" w:rsidRDefault="00260A1C" w:rsidP="00260A1C">
      <w:pPr>
        <w:widowControl w:val="0"/>
        <w:numPr>
          <w:ilvl w:val="0"/>
          <w:numId w:val="2"/>
        </w:num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asigurarea participării echipelor locale la competiții raionale și republicane;</w:t>
      </w:r>
    </w:p>
    <w:p w:rsidR="00260A1C" w:rsidRPr="00284AF5" w:rsidRDefault="00260A1C" w:rsidP="00260A1C">
      <w:pPr>
        <w:widowControl w:val="0"/>
        <w:numPr>
          <w:ilvl w:val="0"/>
          <w:numId w:val="2"/>
        </w:num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desfășurarea de activități cultural-sportive în colaborare cu alte structuri locale;</w:t>
      </w:r>
    </w:p>
    <w:p w:rsidR="00260A1C" w:rsidRPr="00284AF5" w:rsidRDefault="00260A1C" w:rsidP="00260A1C">
      <w:pPr>
        <w:widowControl w:val="0"/>
        <w:numPr>
          <w:ilvl w:val="0"/>
          <w:numId w:val="2"/>
        </w:num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mediatizarea acțiunilor sportive desfășurate în raion.</w:t>
      </w:r>
    </w:p>
    <w:p w:rsidR="00260A1C" w:rsidRPr="00284AF5" w:rsidRDefault="00260A1C" w:rsidP="00260A1C">
      <w:pPr>
        <w:widowControl w:val="0"/>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i/>
          <w:iCs/>
          <w:sz w:val="24"/>
          <w:szCs w:val="24"/>
          <w:lang w:val="ro" w:eastAsia="ru-RU"/>
        </w:rPr>
        <w:t>Sporturi populare și activități sportive:</w:t>
      </w:r>
      <w:r w:rsidRPr="00284AF5">
        <w:rPr>
          <w:rFonts w:ascii="Times New Roman" w:eastAsia="Times New Roman" w:hAnsi="Times New Roman"/>
          <w:sz w:val="24"/>
          <w:szCs w:val="24"/>
          <w:lang w:val="ro" w:eastAsia="ru-RU"/>
        </w:rPr>
        <w:t xml:space="preserve"> Fotbalul este unul dintre cele mai populare și dezvoltate sporturi din raion. Asociația Raională de Fotbal Sîngerei joacă un rol </w:t>
      </w:r>
      <w:r w:rsidRPr="00284AF5">
        <w:rPr>
          <w:rFonts w:ascii="Times New Roman" w:eastAsia="Times New Roman" w:hAnsi="Times New Roman"/>
          <w:sz w:val="24"/>
          <w:szCs w:val="24"/>
          <w:lang w:val="ro" w:eastAsia="ru-RU"/>
        </w:rPr>
        <w:lastRenderedPageBreak/>
        <w:t>important în promovarea acestui sport, organizând activități și susținând comunitatea inclusiv prin acțiuni sociale, cum ar fi contribuțiile financiare în perioada pandemiei COVID-19.</w:t>
      </w:r>
    </w:p>
    <w:p w:rsidR="00260A1C" w:rsidRPr="00284AF5" w:rsidRDefault="00260A1C" w:rsidP="00260A1C">
      <w:pPr>
        <w:widowControl w:val="0"/>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i/>
          <w:iCs/>
          <w:sz w:val="24"/>
          <w:szCs w:val="24"/>
          <w:lang w:val="ro" w:eastAsia="ru-RU"/>
        </w:rPr>
        <w:t>Echipele de fotbal locale:</w:t>
      </w:r>
      <w:r w:rsidRPr="00284AF5">
        <w:rPr>
          <w:rFonts w:ascii="Times New Roman" w:eastAsia="Times New Roman" w:hAnsi="Times New Roman"/>
          <w:sz w:val="24"/>
          <w:szCs w:val="24"/>
          <w:lang w:val="ro" w:eastAsia="ru-RU"/>
        </w:rPr>
        <w:t xml:space="preserve"> FC Victoria Sîngerei, Atletic Copăceni, Zorile Ciuciueni, Speranța Sîngereii Noi, reprezintă raionul la diverse competiții și contribuie la promovarea imaginii lui la nivel național.</w:t>
      </w:r>
    </w:p>
    <w:p w:rsidR="00260A1C" w:rsidRPr="00284AF5" w:rsidRDefault="00260A1C" w:rsidP="00260A1C">
      <w:pPr>
        <w:widowControl w:val="0"/>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noProof/>
          <w:sz w:val="24"/>
          <w:szCs w:val="24"/>
          <w:lang w:eastAsia="ru-RU"/>
        </w:rPr>
        <w:drawing>
          <wp:inline distT="0" distB="0" distL="0" distR="0">
            <wp:extent cx="5734050" cy="26765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2676525"/>
                    </a:xfrm>
                    <a:prstGeom prst="rect">
                      <a:avLst/>
                    </a:prstGeom>
                    <a:noFill/>
                    <a:ln>
                      <a:noFill/>
                    </a:ln>
                  </pic:spPr>
                </pic:pic>
              </a:graphicData>
            </a:graphic>
          </wp:inline>
        </w:drawing>
      </w:r>
    </w:p>
    <w:p w:rsidR="00260A1C" w:rsidRPr="00284AF5" w:rsidRDefault="00260A1C" w:rsidP="00260A1C">
      <w:pPr>
        <w:widowControl w:val="0"/>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Complexul Sportiv „Olimpiada 80” este o infrastructură emblematică a raionului, unde se desfășoară periodic campionate și turnee. Printre evenimentele importante organizate se regăsesc:</w:t>
      </w:r>
    </w:p>
    <w:p w:rsidR="00260A1C" w:rsidRPr="00284AF5" w:rsidRDefault="00260A1C" w:rsidP="00260A1C">
      <w:pPr>
        <w:widowControl w:val="0"/>
        <w:numPr>
          <w:ilvl w:val="0"/>
          <w:numId w:val="1"/>
        </w:num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Turneul Național de handbal „Speranțele Olimpice”, ediția a V-a, realizat în colaborare cu Școala de Sport „Dumitru Atanasov”;</w:t>
      </w:r>
    </w:p>
    <w:p w:rsidR="00260A1C" w:rsidRPr="00284AF5" w:rsidRDefault="00260A1C" w:rsidP="00260A1C">
      <w:pPr>
        <w:widowControl w:val="0"/>
        <w:numPr>
          <w:ilvl w:val="0"/>
          <w:numId w:val="1"/>
        </w:num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Campionatul deschis la tenis de masă, ediția a VI-a, cu participarea a circa 70 de copii din mai multe localități.</w:t>
      </w:r>
    </w:p>
    <w:p w:rsidR="00260A1C" w:rsidRPr="00284AF5" w:rsidRDefault="00260A1C" w:rsidP="00260A1C">
      <w:pPr>
        <w:widowControl w:val="0"/>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Deși raionul dispune de stadioane și terenuri sportive, acestea nu corespund în totalitate standardelor naționale și necesită investiții în modernizare. Dezvoltarea și reabilitarea infrastructurii sportive reprezintă o prioritate pentru promovarea sportului de performanță și de masă.</w:t>
      </w:r>
      <w:r w:rsidRPr="00284AF5">
        <w:rPr>
          <w:rFonts w:ascii="Arial" w:eastAsia="Arial" w:hAnsi="Arial" w:cs="Arial"/>
          <w:lang w:val="ro" w:eastAsia="ru-RU"/>
        </w:rPr>
        <w:br w:type="page"/>
      </w:r>
    </w:p>
    <w:p w:rsidR="00260A1C" w:rsidRPr="00284AF5" w:rsidRDefault="00260A1C" w:rsidP="00260A1C">
      <w:pPr>
        <w:spacing w:after="120" w:line="276" w:lineRule="auto"/>
        <w:jc w:val="both"/>
        <w:rPr>
          <w:rFonts w:ascii="Times New Roman" w:eastAsia="Times New Roman" w:hAnsi="Times New Roman"/>
          <w:b/>
          <w:bCs/>
          <w:i/>
          <w:iCs/>
          <w:sz w:val="24"/>
          <w:szCs w:val="24"/>
          <w:u w:val="single"/>
          <w:lang w:val="ro" w:eastAsia="ru-RU"/>
        </w:rPr>
      </w:pPr>
      <w:r w:rsidRPr="00284AF5">
        <w:rPr>
          <w:rFonts w:ascii="Times New Roman" w:eastAsia="Times New Roman" w:hAnsi="Times New Roman"/>
          <w:b/>
          <w:bCs/>
          <w:i/>
          <w:iCs/>
          <w:sz w:val="24"/>
          <w:szCs w:val="24"/>
          <w:u w:val="single"/>
          <w:lang w:val="ro" w:eastAsia="ru-RU"/>
        </w:rPr>
        <w:lastRenderedPageBreak/>
        <w:t>Componenta 2: Sectorul de tineret</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i/>
          <w:iCs/>
          <w:sz w:val="24"/>
          <w:szCs w:val="24"/>
          <w:lang w:val="ro" w:eastAsia="ru-RU"/>
        </w:rPr>
        <w:t>Situația generală a tinerilor din raionul Sîngerei:</w:t>
      </w:r>
      <w:r w:rsidRPr="00284AF5">
        <w:rPr>
          <w:rFonts w:ascii="Times New Roman" w:eastAsia="Times New Roman" w:hAnsi="Times New Roman"/>
          <w:sz w:val="24"/>
          <w:szCs w:val="24"/>
          <w:lang w:val="ro" w:eastAsia="ru-RU"/>
        </w:rPr>
        <w:t xml:space="preserve"> Conform rezultatelor recensământului 2024, Republica Moldova înregistrează o scădere semnificativă a populaţiei faţă de 2014; această tendinţă se reflectă şi la nivelul raionului Sîngerei. La nivel național declinul a fost important, iar vârsta medie a populaţiei a crescut. (Sursa: </w:t>
      </w:r>
      <w:hyperlink r:id="rId10">
        <w:r w:rsidRPr="00284AF5">
          <w:rPr>
            <w:rFonts w:ascii="Times New Roman" w:eastAsia="Times New Roman" w:hAnsi="Times New Roman"/>
            <w:color w:val="1155CC"/>
            <w:sz w:val="24"/>
            <w:szCs w:val="24"/>
            <w:u w:val="single"/>
            <w:lang w:val="ro" w:eastAsia="ru-RU"/>
          </w:rPr>
          <w:t>BNM</w:t>
        </w:r>
      </w:hyperlink>
      <w:r w:rsidRPr="00284AF5">
        <w:rPr>
          <w:rFonts w:ascii="Times New Roman" w:eastAsia="Times New Roman" w:hAnsi="Times New Roman"/>
          <w:sz w:val="24"/>
          <w:szCs w:val="24"/>
          <w:lang w:val="ro" w:eastAsia="ru-RU"/>
        </w:rPr>
        <w:t>)</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Datele preliminare pentru raionul Sîngerei arată că la 8 aprilie 2024 populaţia cu reședința obişnuită a raionului a fost de 55.933 persoane, ceea ce reprezintă o reducere de aproximativ 26,2% faţă de recensământul din 2014. Această scădere subliniază dimensiunea exodului demografic şi/sau a scăderii naturale în raion. (Sursa:</w:t>
      </w:r>
      <w:hyperlink r:id="rId11">
        <w:r w:rsidRPr="00284AF5">
          <w:rPr>
            <w:rFonts w:ascii="Times New Roman" w:eastAsia="Times New Roman" w:hAnsi="Times New Roman"/>
            <w:color w:val="1155CC"/>
            <w:sz w:val="24"/>
            <w:szCs w:val="24"/>
            <w:u w:val="single"/>
            <w:lang w:val="ro" w:eastAsia="ru-RU"/>
          </w:rPr>
          <w:t xml:space="preserve"> </w:t>
        </w:r>
      </w:hyperlink>
      <w:hyperlink r:id="rId12">
        <w:r w:rsidRPr="00284AF5">
          <w:rPr>
            <w:rFonts w:ascii="Times New Roman" w:eastAsia="Times New Roman" w:hAnsi="Times New Roman"/>
            <w:color w:val="1155CC"/>
            <w:sz w:val="24"/>
            <w:szCs w:val="24"/>
            <w:u w:val="single"/>
            <w:lang w:val="ro" w:eastAsia="ru-RU"/>
          </w:rPr>
          <w:t>ecoul.md</w:t>
        </w:r>
      </w:hyperlink>
      <w:r w:rsidRPr="00284AF5">
        <w:rPr>
          <w:rFonts w:ascii="Times New Roman" w:eastAsia="Times New Roman" w:hAnsi="Times New Roman"/>
          <w:sz w:val="24"/>
          <w:szCs w:val="24"/>
          <w:lang w:val="ro" w:eastAsia="ru-RU"/>
        </w:rPr>
        <w:t>)</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noProof/>
          <w:sz w:val="24"/>
          <w:szCs w:val="24"/>
          <w:lang w:eastAsia="ru-RU"/>
        </w:rPr>
        <w:drawing>
          <wp:inline distT="0" distB="0" distL="0" distR="0">
            <wp:extent cx="5762625" cy="3657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3657600"/>
                    </a:xfrm>
                    <a:prstGeom prst="rect">
                      <a:avLst/>
                    </a:prstGeom>
                    <a:noFill/>
                    <a:ln>
                      <a:noFill/>
                    </a:ln>
                  </pic:spPr>
                </pic:pic>
              </a:graphicData>
            </a:graphic>
          </wp:inline>
        </w:drawing>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 xml:space="preserve">La nivel național, fenomenul tinerilor NEET (neimplicaţi în educaţie, ocupare sau formare) rămâne pronunțat: în trimestrele 2024/2025 numărul tinerilor NEET (15–34 ani) a variat în jurul a ~134–139 mii persoane, iar majoritatea acestor tineri sunt femei. Această realitate națională este relevantă pentru Sîngerei, în special dacă se confirmă niveluri similare locale. (Sursa: </w:t>
      </w:r>
      <w:hyperlink r:id="rId14">
        <w:r w:rsidRPr="00284AF5">
          <w:rPr>
            <w:rFonts w:ascii="Times New Roman" w:eastAsia="Times New Roman" w:hAnsi="Times New Roman"/>
            <w:color w:val="1155CC"/>
            <w:sz w:val="24"/>
            <w:szCs w:val="24"/>
            <w:u w:val="single"/>
            <w:lang w:val="ro" w:eastAsia="ru-RU"/>
          </w:rPr>
          <w:t>BNM</w:t>
        </w:r>
      </w:hyperlink>
      <w:r w:rsidRPr="00284AF5">
        <w:rPr>
          <w:rFonts w:ascii="Times New Roman" w:eastAsia="Times New Roman" w:hAnsi="Times New Roman"/>
          <w:sz w:val="24"/>
          <w:szCs w:val="24"/>
          <w:lang w:val="ro" w:eastAsia="ru-RU"/>
        </w:rPr>
        <w:t>)</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i/>
          <w:iCs/>
          <w:sz w:val="24"/>
          <w:szCs w:val="24"/>
          <w:lang w:val="ro" w:eastAsia="ru-RU"/>
        </w:rPr>
        <w:t xml:space="preserve">Accesibilitatea și calitatea educației: </w:t>
      </w:r>
      <w:r w:rsidRPr="00284AF5">
        <w:rPr>
          <w:rFonts w:ascii="Times New Roman" w:eastAsia="Times New Roman" w:hAnsi="Times New Roman"/>
          <w:sz w:val="24"/>
          <w:szCs w:val="24"/>
          <w:lang w:val="ro" w:eastAsia="ru-RU"/>
        </w:rPr>
        <w:t>Sistemul educațional din raionul Sîngerei se află într-un proces de ajustare continuă la realitățile demografice și economice ale raionului. Deși la nivel național se remarcă tendințe de modernizare, în Sîngerei persistă o serie de dificultăți structurale:</w:t>
      </w:r>
    </w:p>
    <w:p w:rsidR="00260A1C" w:rsidRPr="00284AF5" w:rsidRDefault="00260A1C" w:rsidP="00260A1C">
      <w:pPr>
        <w:numPr>
          <w:ilvl w:val="0"/>
          <w:numId w:val="4"/>
        </w:numPr>
        <w:spacing w:after="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Scăderea populației școlare și a resurselor umane</w:t>
      </w:r>
    </w:p>
    <w:p w:rsidR="00260A1C" w:rsidRPr="00284AF5" w:rsidRDefault="00260A1C" w:rsidP="00260A1C">
      <w:pPr>
        <w:numPr>
          <w:ilvl w:val="0"/>
          <w:numId w:val="4"/>
        </w:numPr>
        <w:spacing w:after="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Depopularea mediului rural a redus numărul de copii și tineri din școli.</w:t>
      </w:r>
    </w:p>
    <w:p w:rsidR="00260A1C" w:rsidRPr="00284AF5" w:rsidRDefault="00260A1C" w:rsidP="00260A1C">
      <w:pPr>
        <w:numPr>
          <w:ilvl w:val="0"/>
          <w:numId w:val="4"/>
        </w:num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Majoritatea tinerilor (aprox. 70%) provin din mediul rural, unde accesul la servicii educaționale moderne și activități extracurriculare este limitat.</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În raion se constată un deficit de specialiști în domeniul tineretului și resurse educaționale insuficiente pentru activități non-formale. Raionul dispune de un Centru Raional de Tineret funcțional însă instituția se află abia în proces de consolidare. Prezența Consiliilor ale Elevilor în instituțiile educaționale valorifică vocea tinerilor în deciziile școlare. Programele de educație non-formală sunt fragmentate, derulate doar ocazional de grupuri neformale precum „Visuri în Acțiune” sau Fondul pentru Tineri Bălți și Sîngerei.</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lastRenderedPageBreak/>
        <w:t>Accesul la educație formală este asigurat, însă educația non-formală, participativă și orientată spre competențe pentru viață este insuficient dezvoltată. Acest lucru are impact asupra capacității tinerilor de a se integra pe piața muncii și asupra motivației lor de a rămâne în raion.</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i/>
          <w:iCs/>
          <w:sz w:val="24"/>
          <w:szCs w:val="24"/>
          <w:lang w:val="ro" w:eastAsia="ru-RU"/>
        </w:rPr>
        <w:t xml:space="preserve">Petrecerea timpului liber: </w:t>
      </w:r>
      <w:r w:rsidRPr="00284AF5">
        <w:rPr>
          <w:rFonts w:ascii="Times New Roman" w:eastAsia="Times New Roman" w:hAnsi="Times New Roman"/>
          <w:sz w:val="24"/>
          <w:szCs w:val="24"/>
          <w:lang w:val="ro" w:eastAsia="ru-RU"/>
        </w:rPr>
        <w:t xml:space="preserve">În raionul Sîngerei există infrastructură de bază pentru activități sportive și culturale, însă aceasta este inegal distribuită, adesea insuficient modernizată și slab utilizată în programe dedicate tinerilor. Raionul dispune de terenuri sportive, săli și stadioane, majoritatea amplasate lângă instituțiile de învățământ, multe dintre ele necesitând renovare.Sporturile populare, precum fotbalul, sunt sprijinite de cluburi locale (FC Victoria Sîngerei, Atletic Copăceni, Speranța Sîngereii Noi etc.). Complexul Sportiv „Olimpiada ‘80” găzduiește periodic campionate și competiții importante pentru tineri, ceea ce creează un potențial de dezvoltare. </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Printre cele mai actuale probleme se regăsesc:</w:t>
      </w:r>
    </w:p>
    <w:p w:rsidR="00260A1C" w:rsidRPr="00284AF5" w:rsidRDefault="00260A1C" w:rsidP="00260A1C">
      <w:pPr>
        <w:numPr>
          <w:ilvl w:val="0"/>
          <w:numId w:val="3"/>
        </w:numPr>
        <w:spacing w:after="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Lipsa programelor structurate de timp liber în localitățile rurale.</w:t>
      </w:r>
    </w:p>
    <w:p w:rsidR="00260A1C" w:rsidRPr="00284AF5" w:rsidRDefault="00260A1C" w:rsidP="00260A1C">
      <w:pPr>
        <w:numPr>
          <w:ilvl w:val="0"/>
          <w:numId w:val="3"/>
        </w:numPr>
        <w:spacing w:after="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Activitățile recreative sunt concentrate în câteva centre sau ocazii, fără continuitate.</w:t>
      </w:r>
    </w:p>
    <w:p w:rsidR="00260A1C" w:rsidRPr="00284AF5" w:rsidRDefault="00260A1C" w:rsidP="00260A1C">
      <w:pPr>
        <w:numPr>
          <w:ilvl w:val="0"/>
          <w:numId w:val="3"/>
        </w:num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Lipsesc spații dedicate tinerilor: centre comunitare, hub-uri de învățare, cluburi tematice, maker-spaces.</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Deși există infrastructură, nu există un sistem organizat de activități recreative și non-formale. Tinerii din mediul rural sunt cei mai afectați, având acces limitat la sport, cultură, voluntariat și dezvoltare personală.</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i/>
          <w:iCs/>
          <w:sz w:val="24"/>
          <w:szCs w:val="24"/>
          <w:lang w:val="ro" w:eastAsia="ru-RU"/>
        </w:rPr>
        <w:t xml:space="preserve">Implicarea tinerilor în procesul decizional: </w:t>
      </w:r>
      <w:r w:rsidRPr="00284AF5">
        <w:rPr>
          <w:rFonts w:ascii="Times New Roman" w:eastAsia="Times New Roman" w:hAnsi="Times New Roman"/>
          <w:sz w:val="24"/>
          <w:szCs w:val="24"/>
          <w:lang w:val="ro" w:eastAsia="ru-RU"/>
        </w:rPr>
        <w:t>Participarea tinerilor în procesele democratice ale raionului este în prezent foarte scăzută, influențată de absența structurilor formale de participare, lipsa de resurse și lipsa unei culturi civice consolidate.</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 xml:space="preserve">Structuri formale de participare: </w:t>
      </w:r>
    </w:p>
    <w:p w:rsidR="00260A1C" w:rsidRPr="00284AF5" w:rsidRDefault="00260A1C" w:rsidP="00260A1C">
      <w:pPr>
        <w:numPr>
          <w:ilvl w:val="0"/>
          <w:numId w:val="5"/>
        </w:numPr>
        <w:spacing w:after="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Consiliul Raional al Tinerilor din Sîngerei există, dar cu activitate limitată.</w:t>
      </w:r>
    </w:p>
    <w:p w:rsidR="00260A1C" w:rsidRPr="00284AF5" w:rsidRDefault="00260A1C" w:rsidP="00260A1C">
      <w:pPr>
        <w:numPr>
          <w:ilvl w:val="0"/>
          <w:numId w:val="5"/>
        </w:num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Consiliile locale ale tinerilor nu funcționează în localități.</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Există un Consiliu Raional al Elevilor, ceea ce oferă o platformă esențială pentru reprezentarea intereselor copiilor și tinerilor în școli. Cu toate acestea, este necesară instituirea unui program complex de suport și finanțare a Consiliilor Elevilor și de Tineret. Lipsa unui specialist în tineret limitează coordonarea participării civice. Tinerii sunt implicați doar ocazional prin proiecte ale grupurilor neformale. Nu există procese de consultare publică adaptate nevoilor tinerilor (ex. consultări în școli, sesiuni în format accesibil tinerilor din mediul rural).</w:t>
      </w: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Tinerii din Sîngerei nu sunt integrați în procesele de luare a deciziilor, iar structurile existente sunt fie inactive, fie inexistente. Această situație afectează calitatea democrației locale și reduce capacitatea tinerilor de a influența dezvoltarea comunității.</w:t>
      </w:r>
    </w:p>
    <w:p w:rsidR="00260A1C" w:rsidRDefault="00260A1C" w:rsidP="00260A1C">
      <w:pPr>
        <w:spacing w:after="120" w:line="276" w:lineRule="auto"/>
        <w:jc w:val="both"/>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 xml:space="preserve">Tinerii din raionul Sîngerei reprezintă un potențial semnificativ (până la 15.000 tineri), însă se confruntă cu bariere sistemice: acces limitat la educație non-formală, oportunități reduse pentru dezvoltare, lipsă de programe structurate, lipsa unui cadru strategic, infrastructură insuficient valorificată și participare civică extrem de redusă. Depopularea rurală și migrația accelerează vulnerabilitatea lor socială. De aceea, consolidarea infrastructurii de tineret, stimularea participării civice, modernizarea educației și extinderea programelor pentru tineri devin priorități </w:t>
      </w:r>
      <w:r>
        <w:rPr>
          <w:rFonts w:ascii="Times New Roman" w:eastAsia="Times New Roman" w:hAnsi="Times New Roman"/>
          <w:sz w:val="24"/>
          <w:szCs w:val="24"/>
          <w:lang w:val="ro" w:eastAsia="ru-RU"/>
        </w:rPr>
        <w:t>strategice pentru următorii ani</w:t>
      </w:r>
    </w:p>
    <w:p w:rsidR="00260A1C" w:rsidRDefault="00260A1C" w:rsidP="00260A1C">
      <w:pPr>
        <w:spacing w:after="120" w:line="276" w:lineRule="auto"/>
        <w:jc w:val="both"/>
        <w:rPr>
          <w:rFonts w:ascii="Times New Roman" w:eastAsia="Times New Roman" w:hAnsi="Times New Roman"/>
          <w:sz w:val="24"/>
          <w:szCs w:val="24"/>
          <w:lang w:val="ro" w:eastAsia="ru-RU"/>
        </w:rPr>
      </w:pPr>
    </w:p>
    <w:p w:rsidR="00260A1C" w:rsidRDefault="00260A1C" w:rsidP="00260A1C">
      <w:pPr>
        <w:spacing w:after="120" w:line="276" w:lineRule="auto"/>
        <w:jc w:val="both"/>
        <w:rPr>
          <w:rFonts w:ascii="Times New Roman" w:eastAsia="Times New Roman" w:hAnsi="Times New Roman"/>
          <w:sz w:val="24"/>
          <w:szCs w:val="24"/>
          <w:lang w:val="ro" w:eastAsia="ru-RU"/>
        </w:rPr>
      </w:pPr>
    </w:p>
    <w:p w:rsidR="00260A1C" w:rsidRDefault="00260A1C" w:rsidP="00260A1C">
      <w:pPr>
        <w:spacing w:after="120" w:line="276" w:lineRule="auto"/>
        <w:jc w:val="both"/>
        <w:rPr>
          <w:rFonts w:ascii="Times New Roman" w:eastAsia="Times New Roman" w:hAnsi="Times New Roman"/>
          <w:sz w:val="24"/>
          <w:szCs w:val="24"/>
          <w:lang w:val="ro" w:eastAsia="ru-RU"/>
        </w:rPr>
      </w:pPr>
    </w:p>
    <w:p w:rsidR="00260A1C" w:rsidRDefault="00260A1C" w:rsidP="00710E95">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lastRenderedPageBreak/>
        <w:t xml:space="preserve">Anexa nr.2 </w:t>
      </w:r>
    </w:p>
    <w:p w:rsidR="00A82769" w:rsidRDefault="00A82769" w:rsidP="00A82769">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t xml:space="preserve">la Decizia nr. </w:t>
      </w:r>
      <w:r>
        <w:rPr>
          <w:rFonts w:ascii="Times New Roman" w:eastAsia="Times New Roman" w:hAnsi="Times New Roman"/>
          <w:b/>
          <w:u w:val="single"/>
          <w:lang w:val="ro-MD" w:eastAsia="ru-RU"/>
        </w:rPr>
        <w:t>2/15</w:t>
      </w:r>
      <w:r>
        <w:rPr>
          <w:rFonts w:ascii="Times New Roman" w:eastAsia="Times New Roman" w:hAnsi="Times New Roman"/>
          <w:b/>
          <w:lang w:val="ro-MD" w:eastAsia="ru-RU"/>
        </w:rPr>
        <w:t xml:space="preserve"> </w:t>
      </w:r>
    </w:p>
    <w:p w:rsidR="00A82769" w:rsidRDefault="00A82769" w:rsidP="00A82769">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t>din ,,_</w:t>
      </w:r>
      <w:r>
        <w:rPr>
          <w:rFonts w:ascii="Times New Roman" w:eastAsia="Times New Roman" w:hAnsi="Times New Roman"/>
          <w:b/>
          <w:u w:val="single"/>
          <w:lang w:val="ro-MD" w:eastAsia="ru-RU"/>
        </w:rPr>
        <w:t>30</w:t>
      </w:r>
      <w:r>
        <w:rPr>
          <w:rFonts w:ascii="Times New Roman" w:eastAsia="Times New Roman" w:hAnsi="Times New Roman"/>
          <w:b/>
          <w:lang w:val="ro-MD" w:eastAsia="ru-RU"/>
        </w:rPr>
        <w:t>_,,_</w:t>
      </w:r>
      <w:r>
        <w:rPr>
          <w:rFonts w:ascii="Times New Roman" w:eastAsia="Times New Roman" w:hAnsi="Times New Roman"/>
          <w:b/>
          <w:u w:val="single"/>
          <w:lang w:val="ro-MD" w:eastAsia="ru-RU"/>
        </w:rPr>
        <w:t>martie</w:t>
      </w:r>
      <w:r>
        <w:rPr>
          <w:rFonts w:ascii="Times New Roman" w:eastAsia="Times New Roman" w:hAnsi="Times New Roman"/>
          <w:b/>
          <w:lang w:val="ro-MD" w:eastAsia="ru-RU"/>
        </w:rPr>
        <w:t>_2026</w:t>
      </w:r>
    </w:p>
    <w:p w:rsidR="00260A1C" w:rsidRDefault="00260A1C" w:rsidP="00260A1C">
      <w:pPr>
        <w:tabs>
          <w:tab w:val="left" w:pos="1110"/>
        </w:tabs>
        <w:spacing w:after="0" w:line="240" w:lineRule="auto"/>
        <w:contextualSpacing/>
        <w:jc w:val="right"/>
        <w:rPr>
          <w:rFonts w:ascii="Times New Roman" w:eastAsia="Times New Roman" w:hAnsi="Times New Roman"/>
          <w:b/>
          <w:lang w:val="ro-MD" w:eastAsia="ru-RU"/>
        </w:rPr>
      </w:pPr>
    </w:p>
    <w:p w:rsidR="00260A1C" w:rsidRPr="00284AF5" w:rsidRDefault="00260A1C" w:rsidP="00260A1C">
      <w:pPr>
        <w:spacing w:after="120" w:line="276" w:lineRule="auto"/>
        <w:jc w:val="both"/>
        <w:rPr>
          <w:rFonts w:ascii="Times New Roman" w:eastAsia="Times New Roman" w:hAnsi="Times New Roman"/>
          <w:b/>
          <w:bCs/>
          <w:sz w:val="24"/>
          <w:szCs w:val="24"/>
          <w:lang w:val="ro" w:eastAsia="ru-RU"/>
        </w:rPr>
      </w:pPr>
      <w:r w:rsidRPr="00284AF5">
        <w:rPr>
          <w:rFonts w:ascii="Times New Roman" w:eastAsia="Times New Roman" w:hAnsi="Times New Roman"/>
          <w:b/>
          <w:bCs/>
          <w:sz w:val="24"/>
          <w:szCs w:val="24"/>
          <w:lang w:val="ro" w:eastAsia="ru-RU"/>
        </w:rPr>
        <w:t>Capitolul III. Analiza S</w:t>
      </w:r>
      <w:r w:rsidR="00710E95">
        <w:rPr>
          <w:rFonts w:ascii="Times New Roman" w:eastAsia="Times New Roman" w:hAnsi="Times New Roman"/>
          <w:b/>
          <w:bCs/>
          <w:sz w:val="24"/>
          <w:szCs w:val="24"/>
          <w:lang w:val="ro" w:eastAsia="ru-RU"/>
        </w:rPr>
        <w:t>WOT S</w:t>
      </w:r>
      <w:r w:rsidRPr="00284AF5">
        <w:rPr>
          <w:rFonts w:ascii="Times New Roman" w:eastAsia="Times New Roman" w:hAnsi="Times New Roman"/>
          <w:b/>
          <w:bCs/>
          <w:sz w:val="24"/>
          <w:szCs w:val="24"/>
          <w:lang w:val="ro" w:eastAsia="ru-RU"/>
        </w:rPr>
        <w:t>ectorială</w:t>
      </w:r>
    </w:p>
    <w:p w:rsidR="00260A1C" w:rsidRPr="00284AF5" w:rsidRDefault="00710E95" w:rsidP="00260A1C">
      <w:pPr>
        <w:spacing w:after="120" w:line="276" w:lineRule="auto"/>
        <w:jc w:val="both"/>
        <w:rPr>
          <w:rFonts w:ascii="Times New Roman" w:eastAsia="Times New Roman" w:hAnsi="Times New Roman"/>
          <w:b/>
          <w:bCs/>
          <w:sz w:val="24"/>
          <w:szCs w:val="24"/>
          <w:lang w:val="ro" w:eastAsia="ru-RU"/>
        </w:rPr>
      </w:pPr>
      <w:r>
        <w:rPr>
          <w:rFonts w:ascii="Times New Roman" w:eastAsia="Times New Roman" w:hAnsi="Times New Roman"/>
          <w:b/>
          <w:bCs/>
          <w:sz w:val="24"/>
          <w:szCs w:val="24"/>
          <w:lang w:val="ro" w:eastAsia="ru-RU"/>
        </w:rPr>
        <w:t>3.5</w:t>
      </w:r>
      <w:r w:rsidR="00260A1C" w:rsidRPr="00284AF5">
        <w:rPr>
          <w:rFonts w:ascii="Times New Roman" w:eastAsia="Times New Roman" w:hAnsi="Times New Roman"/>
          <w:b/>
          <w:bCs/>
          <w:sz w:val="24"/>
          <w:szCs w:val="24"/>
          <w:lang w:val="ro" w:eastAsia="ru-RU"/>
        </w:rPr>
        <w:t xml:space="preserve"> Analiza SWOT domeniul tineret și sport</w:t>
      </w:r>
    </w:p>
    <w:p w:rsidR="00260A1C" w:rsidRPr="00284AF5" w:rsidRDefault="00260A1C" w:rsidP="00260A1C">
      <w:pPr>
        <w:spacing w:after="120" w:line="276" w:lineRule="auto"/>
        <w:jc w:val="both"/>
        <w:rPr>
          <w:rFonts w:ascii="Times New Roman" w:eastAsia="Times New Roman" w:hAnsi="Times New Roman"/>
          <w:b/>
          <w:bCs/>
          <w:sz w:val="24"/>
          <w:szCs w:val="24"/>
          <w:lang w:val="ro" w:eastAsia="ru-RU"/>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6465"/>
      </w:tblGrid>
      <w:tr w:rsidR="00260A1C" w:rsidRPr="00C22C8D" w:rsidTr="00E163CF">
        <w:tc>
          <w:tcPr>
            <w:tcW w:w="2535" w:type="dxa"/>
            <w:tcBorders>
              <w:top w:val="nil"/>
              <w:left w:val="nil"/>
              <w:bottom w:val="nil"/>
              <w:right w:val="nil"/>
            </w:tcBorders>
            <w:shd w:val="clear" w:color="auto" w:fill="auto"/>
            <w:tcMar>
              <w:top w:w="100" w:type="dxa"/>
              <w:left w:w="100" w:type="dxa"/>
              <w:bottom w:w="100" w:type="dxa"/>
              <w:right w:w="100" w:type="dxa"/>
            </w:tcMar>
          </w:tcPr>
          <w:p w:rsidR="00260A1C" w:rsidRPr="00284AF5" w:rsidRDefault="00260A1C" w:rsidP="00E163CF">
            <w:pPr>
              <w:widowControl w:val="0"/>
              <w:pBdr>
                <w:top w:val="nil"/>
                <w:left w:val="nil"/>
                <w:bottom w:val="nil"/>
                <w:right w:val="nil"/>
                <w:between w:val="nil"/>
              </w:pBdr>
              <w:spacing w:after="0" w:line="240" w:lineRule="auto"/>
              <w:rPr>
                <w:rFonts w:ascii="Times New Roman" w:eastAsia="Times New Roman" w:hAnsi="Times New Roman"/>
                <w:b/>
                <w:bCs/>
                <w:sz w:val="24"/>
                <w:szCs w:val="24"/>
                <w:lang w:val="ro" w:eastAsia="ru-RU"/>
              </w:rPr>
            </w:pPr>
            <w:r w:rsidRPr="00284AF5">
              <w:rPr>
                <w:rFonts w:ascii="Times New Roman" w:eastAsia="Times New Roman" w:hAnsi="Times New Roman"/>
                <w:b/>
                <w:noProof/>
                <w:sz w:val="24"/>
                <w:szCs w:val="24"/>
                <w:lang w:eastAsia="ru-RU"/>
              </w:rPr>
              <w:drawing>
                <wp:inline distT="0" distB="0" distL="0" distR="0">
                  <wp:extent cx="1295400" cy="1066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0" cy="1066800"/>
                          </a:xfrm>
                          <a:prstGeom prst="rect">
                            <a:avLst/>
                          </a:prstGeom>
                          <a:noFill/>
                          <a:ln>
                            <a:noFill/>
                          </a:ln>
                        </pic:spPr>
                      </pic:pic>
                    </a:graphicData>
                  </a:graphic>
                </wp:inline>
              </w:drawing>
            </w:r>
          </w:p>
        </w:tc>
        <w:tc>
          <w:tcPr>
            <w:tcW w:w="6465" w:type="dxa"/>
            <w:tcBorders>
              <w:top w:val="nil"/>
              <w:left w:val="nil"/>
              <w:bottom w:val="nil"/>
              <w:right w:val="nil"/>
            </w:tcBorders>
            <w:shd w:val="clear" w:color="auto" w:fill="auto"/>
            <w:tcMar>
              <w:top w:w="100" w:type="dxa"/>
              <w:left w:w="100" w:type="dxa"/>
              <w:bottom w:w="100" w:type="dxa"/>
              <w:right w:w="100" w:type="dxa"/>
            </w:tcMar>
          </w:tcPr>
          <w:p w:rsidR="00260A1C" w:rsidRPr="00284AF5" w:rsidRDefault="00260A1C" w:rsidP="00E163CF">
            <w:p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PUNCTE TARI</w:t>
            </w:r>
          </w:p>
          <w:p w:rsidR="00260A1C" w:rsidRPr="00284AF5" w:rsidRDefault="00260A1C" w:rsidP="00E163CF">
            <w:pPr>
              <w:numPr>
                <w:ilvl w:val="0"/>
                <w:numId w:val="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Există infrastructură de bază pentru tineret, prin centrele locale și procesul de constituire a IP Centrul Raional de Tineret Sîngerei, ceea ce indică voință instituțională și premise pentru dezvoltare.</w:t>
            </w:r>
          </w:p>
          <w:p w:rsidR="00260A1C" w:rsidRPr="00284AF5" w:rsidRDefault="00260A1C" w:rsidP="00E163CF">
            <w:pPr>
              <w:numPr>
                <w:ilvl w:val="0"/>
                <w:numId w:val="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Direcția Cultură, Turism, Tineret și Sport asigură coordonarea domeniului, oferind un cadru administrativ clar pentru viitoarele programe.</w:t>
            </w:r>
          </w:p>
          <w:p w:rsidR="00260A1C" w:rsidRPr="00284AF5" w:rsidRDefault="00260A1C" w:rsidP="00E163CF">
            <w:pPr>
              <w:numPr>
                <w:ilvl w:val="0"/>
                <w:numId w:val="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Existența unor structuri neformale active, precum Grupul „Visuri în Acțiune” și Fondul pentru Tineri Bălți și Sîngerei, indică un nucleu de tineri motivați, implicați în proiecte comunitare și voluntariat.</w:t>
            </w:r>
          </w:p>
          <w:p w:rsidR="00260A1C" w:rsidRPr="00284AF5" w:rsidRDefault="00260A1C" w:rsidP="00E163CF">
            <w:pPr>
              <w:numPr>
                <w:ilvl w:val="0"/>
                <w:numId w:val="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Potrivire cu prioritățile naționale din politicile publice de tineret și din strategia sportivă, ceea ce facilitează accesul la programe naționale și finanțări externe.</w:t>
            </w:r>
          </w:p>
          <w:p w:rsidR="00260A1C" w:rsidRPr="00284AF5" w:rsidRDefault="00260A1C" w:rsidP="00E163CF">
            <w:pPr>
              <w:numPr>
                <w:ilvl w:val="0"/>
                <w:numId w:val="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Rețea extinsă de instituții de învățământ care pot deveni parteneri în promovarea participării tinerilor, dezvoltării sportive și activităților extracurriculare.</w:t>
            </w:r>
          </w:p>
        </w:tc>
      </w:tr>
      <w:tr w:rsidR="00260A1C" w:rsidRPr="00C22C8D" w:rsidTr="00E163CF">
        <w:tc>
          <w:tcPr>
            <w:tcW w:w="2535" w:type="dxa"/>
            <w:tcBorders>
              <w:top w:val="nil"/>
              <w:left w:val="nil"/>
              <w:bottom w:val="nil"/>
              <w:right w:val="nil"/>
            </w:tcBorders>
            <w:shd w:val="clear" w:color="auto" w:fill="auto"/>
            <w:tcMar>
              <w:top w:w="100" w:type="dxa"/>
              <w:left w:w="100" w:type="dxa"/>
              <w:bottom w:w="100" w:type="dxa"/>
              <w:right w:w="100" w:type="dxa"/>
            </w:tcMar>
          </w:tcPr>
          <w:p w:rsidR="00260A1C" w:rsidRPr="00284AF5" w:rsidRDefault="00260A1C" w:rsidP="00E163CF">
            <w:pPr>
              <w:widowControl w:val="0"/>
              <w:pBdr>
                <w:top w:val="nil"/>
                <w:left w:val="nil"/>
                <w:bottom w:val="nil"/>
                <w:right w:val="nil"/>
                <w:between w:val="nil"/>
              </w:pBdr>
              <w:spacing w:after="0" w:line="240" w:lineRule="auto"/>
              <w:rPr>
                <w:rFonts w:ascii="Times New Roman" w:eastAsia="Times New Roman" w:hAnsi="Times New Roman"/>
                <w:b/>
                <w:bCs/>
                <w:sz w:val="24"/>
                <w:szCs w:val="24"/>
                <w:lang w:val="ro" w:eastAsia="ru-RU"/>
              </w:rPr>
            </w:pPr>
            <w:r w:rsidRPr="00284AF5">
              <w:rPr>
                <w:rFonts w:ascii="Times New Roman" w:eastAsia="Times New Roman" w:hAnsi="Times New Roman"/>
                <w:b/>
                <w:noProof/>
                <w:sz w:val="24"/>
                <w:szCs w:val="24"/>
                <w:lang w:eastAsia="ru-RU"/>
              </w:rPr>
              <w:drawing>
                <wp:inline distT="0" distB="0" distL="0" distR="0">
                  <wp:extent cx="1143000" cy="1057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057275"/>
                          </a:xfrm>
                          <a:prstGeom prst="rect">
                            <a:avLst/>
                          </a:prstGeom>
                          <a:noFill/>
                          <a:ln>
                            <a:noFill/>
                          </a:ln>
                        </pic:spPr>
                      </pic:pic>
                    </a:graphicData>
                  </a:graphic>
                </wp:inline>
              </w:drawing>
            </w:r>
          </w:p>
        </w:tc>
        <w:tc>
          <w:tcPr>
            <w:tcW w:w="6465" w:type="dxa"/>
            <w:tcBorders>
              <w:top w:val="nil"/>
              <w:left w:val="nil"/>
              <w:bottom w:val="nil"/>
              <w:right w:val="nil"/>
            </w:tcBorders>
            <w:shd w:val="clear" w:color="auto" w:fill="auto"/>
            <w:tcMar>
              <w:top w:w="100" w:type="dxa"/>
              <w:left w:w="100" w:type="dxa"/>
              <w:bottom w:w="100" w:type="dxa"/>
              <w:right w:w="100" w:type="dxa"/>
            </w:tcMar>
          </w:tcPr>
          <w:p w:rsidR="00260A1C" w:rsidRPr="00284AF5" w:rsidRDefault="00260A1C" w:rsidP="00E163CF">
            <w:p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PUNCTE SLABE</w:t>
            </w:r>
          </w:p>
          <w:p w:rsidR="00260A1C" w:rsidRPr="00284AF5" w:rsidRDefault="00260A1C" w:rsidP="00E163CF">
            <w:pPr>
              <w:numPr>
                <w:ilvl w:val="0"/>
                <w:numId w:val="1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Lipsa unei strategii locale sau a unui program multianual dedicat tinerilor și sportului, ceea ce duce la acțiuni fragmentate și impact redus.</w:t>
            </w:r>
          </w:p>
          <w:p w:rsidR="00260A1C" w:rsidRPr="00284AF5" w:rsidRDefault="00260A1C" w:rsidP="00E163CF">
            <w:pPr>
              <w:numPr>
                <w:ilvl w:val="0"/>
                <w:numId w:val="1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Inactivitatea Consiliului Raional al Tinerilor și absența unui Consiliu al Elevilor limitează participarea tinerilor în procesul decizional.</w:t>
            </w:r>
          </w:p>
          <w:p w:rsidR="00260A1C" w:rsidRPr="00284AF5" w:rsidRDefault="00260A1C" w:rsidP="00E163CF">
            <w:pPr>
              <w:numPr>
                <w:ilvl w:val="0"/>
                <w:numId w:val="1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Număr redus de ONG-uri de tineret, cu un ecosistem asociativ insuficient dezvoltat și slab conectat la autorități.</w:t>
            </w:r>
          </w:p>
          <w:p w:rsidR="00260A1C" w:rsidRPr="00284AF5" w:rsidRDefault="00260A1C" w:rsidP="00E163CF">
            <w:pPr>
              <w:numPr>
                <w:ilvl w:val="0"/>
                <w:numId w:val="1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Lipsa unui specialist dedicat de tineret în cadrul administrației raionale reduce capacitatea de planificare, monitorizare și implementare.</w:t>
            </w:r>
          </w:p>
          <w:p w:rsidR="00260A1C" w:rsidRPr="00284AF5" w:rsidRDefault="00260A1C" w:rsidP="00E163CF">
            <w:pPr>
              <w:numPr>
                <w:ilvl w:val="0"/>
                <w:numId w:val="1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Buget orientat preponderent spre întreținerea infrastructurii, nu spre activități, programe educaționale, sportive sau de implicare civică.</w:t>
            </w:r>
          </w:p>
          <w:p w:rsidR="00260A1C" w:rsidRPr="00284AF5" w:rsidRDefault="00260A1C" w:rsidP="00E163CF">
            <w:pPr>
              <w:numPr>
                <w:ilvl w:val="0"/>
                <w:numId w:val="1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Depopularea raionului și migrația tinerilor, fenomen agravat de lipsa oportunităților de educație, muncă și petrecere a timpului liber.</w:t>
            </w:r>
          </w:p>
          <w:p w:rsidR="00260A1C" w:rsidRPr="00284AF5" w:rsidRDefault="00260A1C" w:rsidP="00E163CF">
            <w:pPr>
              <w:numPr>
                <w:ilvl w:val="0"/>
                <w:numId w:val="19"/>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 xml:space="preserve">Acces limitat la servicii calitative pentru tinerii din mediul rural, care reprezintă peste 70% din populația raionului. </w:t>
            </w:r>
          </w:p>
          <w:p w:rsidR="00260A1C" w:rsidRPr="00284AF5" w:rsidRDefault="00260A1C" w:rsidP="00E163CF">
            <w:pPr>
              <w:spacing w:after="0" w:line="240" w:lineRule="auto"/>
              <w:rPr>
                <w:rFonts w:ascii="Times New Roman" w:eastAsia="Times New Roman" w:hAnsi="Times New Roman"/>
                <w:sz w:val="24"/>
                <w:szCs w:val="24"/>
                <w:lang w:val="ro" w:eastAsia="ru-RU"/>
              </w:rPr>
            </w:pPr>
          </w:p>
          <w:p w:rsidR="00260A1C" w:rsidRPr="00284AF5" w:rsidRDefault="00260A1C" w:rsidP="00E163CF">
            <w:pPr>
              <w:spacing w:after="0" w:line="240" w:lineRule="auto"/>
              <w:rPr>
                <w:rFonts w:ascii="Times New Roman" w:eastAsia="Times New Roman" w:hAnsi="Times New Roman"/>
                <w:sz w:val="24"/>
                <w:szCs w:val="24"/>
                <w:lang w:val="ro" w:eastAsia="ru-RU"/>
              </w:rPr>
            </w:pPr>
          </w:p>
          <w:p w:rsidR="00260A1C" w:rsidRPr="00284AF5" w:rsidRDefault="00260A1C" w:rsidP="00E163CF">
            <w:pPr>
              <w:spacing w:after="0" w:line="240" w:lineRule="auto"/>
              <w:rPr>
                <w:rFonts w:ascii="Times New Roman" w:eastAsia="Times New Roman" w:hAnsi="Times New Roman"/>
                <w:sz w:val="24"/>
                <w:szCs w:val="24"/>
                <w:lang w:val="ro" w:eastAsia="ru-RU"/>
              </w:rPr>
            </w:pPr>
          </w:p>
        </w:tc>
      </w:tr>
      <w:tr w:rsidR="00260A1C" w:rsidRPr="00C22C8D" w:rsidTr="00E163CF">
        <w:tc>
          <w:tcPr>
            <w:tcW w:w="2535" w:type="dxa"/>
            <w:tcBorders>
              <w:top w:val="nil"/>
              <w:left w:val="nil"/>
              <w:bottom w:val="nil"/>
              <w:right w:val="nil"/>
            </w:tcBorders>
            <w:shd w:val="clear" w:color="auto" w:fill="auto"/>
            <w:tcMar>
              <w:top w:w="100" w:type="dxa"/>
              <w:left w:w="100" w:type="dxa"/>
              <w:bottom w:w="100" w:type="dxa"/>
              <w:right w:w="100" w:type="dxa"/>
            </w:tcMar>
          </w:tcPr>
          <w:p w:rsidR="00260A1C" w:rsidRPr="00284AF5" w:rsidRDefault="00260A1C" w:rsidP="00E163CF">
            <w:pPr>
              <w:widowControl w:val="0"/>
              <w:pBdr>
                <w:top w:val="nil"/>
                <w:left w:val="nil"/>
                <w:bottom w:val="nil"/>
                <w:right w:val="nil"/>
                <w:between w:val="nil"/>
              </w:pBdr>
              <w:spacing w:after="0" w:line="240" w:lineRule="auto"/>
              <w:rPr>
                <w:rFonts w:ascii="Times New Roman" w:eastAsia="Times New Roman" w:hAnsi="Times New Roman"/>
                <w:b/>
                <w:bCs/>
                <w:sz w:val="24"/>
                <w:szCs w:val="24"/>
                <w:lang w:val="ro" w:eastAsia="ru-RU"/>
              </w:rPr>
            </w:pPr>
            <w:r w:rsidRPr="00284AF5">
              <w:rPr>
                <w:rFonts w:ascii="Times New Roman" w:eastAsia="Times New Roman" w:hAnsi="Times New Roman"/>
                <w:b/>
                <w:noProof/>
                <w:sz w:val="24"/>
                <w:szCs w:val="24"/>
                <w:lang w:eastAsia="ru-RU"/>
              </w:rPr>
              <w:lastRenderedPageBreak/>
              <w:drawing>
                <wp:inline distT="0" distB="0" distL="0" distR="0">
                  <wp:extent cx="1257300" cy="1047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1047750"/>
                          </a:xfrm>
                          <a:prstGeom prst="rect">
                            <a:avLst/>
                          </a:prstGeom>
                          <a:noFill/>
                          <a:ln>
                            <a:noFill/>
                          </a:ln>
                        </pic:spPr>
                      </pic:pic>
                    </a:graphicData>
                  </a:graphic>
                </wp:inline>
              </w:drawing>
            </w:r>
          </w:p>
        </w:tc>
        <w:tc>
          <w:tcPr>
            <w:tcW w:w="6465" w:type="dxa"/>
            <w:tcBorders>
              <w:top w:val="nil"/>
              <w:left w:val="nil"/>
              <w:bottom w:val="nil"/>
              <w:right w:val="nil"/>
            </w:tcBorders>
            <w:shd w:val="clear" w:color="auto" w:fill="auto"/>
            <w:tcMar>
              <w:top w:w="100" w:type="dxa"/>
              <w:left w:w="100" w:type="dxa"/>
              <w:bottom w:w="100" w:type="dxa"/>
              <w:right w:w="100" w:type="dxa"/>
            </w:tcMar>
          </w:tcPr>
          <w:p w:rsidR="00260A1C" w:rsidRPr="00284AF5" w:rsidRDefault="00260A1C" w:rsidP="00E163CF">
            <w:p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OPORTUNITĂȚI</w:t>
            </w:r>
          </w:p>
          <w:p w:rsidR="00260A1C" w:rsidRPr="00284AF5" w:rsidRDefault="00260A1C" w:rsidP="00E163CF">
            <w:pPr>
              <w:numPr>
                <w:ilvl w:val="0"/>
                <w:numId w:val="18"/>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Constituirea Centrului Raional de Tineret oferă oportunitatea creării unui sistem coerent de servicii, programe educative, consiliere și activități sportive.</w:t>
            </w:r>
          </w:p>
          <w:p w:rsidR="00260A1C" w:rsidRPr="00284AF5" w:rsidRDefault="00260A1C" w:rsidP="00E163CF">
            <w:pPr>
              <w:numPr>
                <w:ilvl w:val="0"/>
                <w:numId w:val="18"/>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Acces la programe naționale și internaționale (MEC, Erasmus+, fonduri europene, granturi pentru tineret) ce pot finanța dezvoltarea serviciilor de tineret și a infrastructurii sportive.</w:t>
            </w:r>
          </w:p>
          <w:p w:rsidR="00260A1C" w:rsidRPr="00284AF5" w:rsidRDefault="00260A1C" w:rsidP="00E163CF">
            <w:pPr>
              <w:numPr>
                <w:ilvl w:val="0"/>
                <w:numId w:val="18"/>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Interes crescut al tinerilor pentru voluntariat, activism, digitalizare și dezvoltare personală, ceea ce facilitează implicarea lor în proiecte comunitare.</w:t>
            </w:r>
          </w:p>
          <w:p w:rsidR="00260A1C" w:rsidRPr="00284AF5" w:rsidRDefault="00260A1C" w:rsidP="00E163CF">
            <w:pPr>
              <w:numPr>
                <w:ilvl w:val="0"/>
                <w:numId w:val="18"/>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Potențialul de implicare a instituțiilor de învățământ, bisericilor, bibliotecilor și centrelor culturale în activități sportive, educaționale și civice.</w:t>
            </w:r>
          </w:p>
          <w:p w:rsidR="00260A1C" w:rsidRPr="00284AF5" w:rsidRDefault="00260A1C" w:rsidP="00E163CF">
            <w:pPr>
              <w:numPr>
                <w:ilvl w:val="0"/>
                <w:numId w:val="18"/>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Dezvoltarea parteneriatelor public–private, în special cu agenți economici locali interesați de susținerea activităților sportive sau de sponsorizare.</w:t>
            </w:r>
          </w:p>
          <w:p w:rsidR="00260A1C" w:rsidRPr="00284AF5" w:rsidRDefault="00260A1C" w:rsidP="00E163CF">
            <w:pPr>
              <w:numPr>
                <w:ilvl w:val="0"/>
                <w:numId w:val="18"/>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Utilizarea tehnologiilor digitale pentru consultări publice, activități educative, formare profesională și promovarea participării tinerilor.</w:t>
            </w:r>
          </w:p>
        </w:tc>
      </w:tr>
      <w:tr w:rsidR="00260A1C" w:rsidRPr="00C22C8D" w:rsidTr="00E163CF">
        <w:tc>
          <w:tcPr>
            <w:tcW w:w="2535" w:type="dxa"/>
            <w:tcBorders>
              <w:top w:val="nil"/>
              <w:left w:val="nil"/>
              <w:bottom w:val="nil"/>
              <w:right w:val="nil"/>
            </w:tcBorders>
            <w:shd w:val="clear" w:color="auto" w:fill="auto"/>
            <w:tcMar>
              <w:top w:w="100" w:type="dxa"/>
              <w:left w:w="100" w:type="dxa"/>
              <w:bottom w:w="100" w:type="dxa"/>
              <w:right w:w="100" w:type="dxa"/>
            </w:tcMar>
          </w:tcPr>
          <w:p w:rsidR="00260A1C" w:rsidRPr="00284AF5" w:rsidRDefault="00260A1C" w:rsidP="00E163CF">
            <w:pPr>
              <w:widowControl w:val="0"/>
              <w:tabs>
                <w:tab w:val="left" w:pos="262"/>
              </w:tabs>
              <w:spacing w:after="0" w:line="216" w:lineRule="auto"/>
              <w:rPr>
                <w:rFonts w:ascii="Times New Roman" w:eastAsia="Times New Roman" w:hAnsi="Times New Roman"/>
                <w:b/>
                <w:bCs/>
                <w:sz w:val="24"/>
                <w:szCs w:val="24"/>
                <w:lang w:val="ro" w:eastAsia="ru-RU"/>
              </w:rPr>
            </w:pPr>
            <w:r w:rsidRPr="00284AF5">
              <w:rPr>
                <w:rFonts w:ascii="Times New Roman" w:eastAsia="Times New Roman" w:hAnsi="Times New Roman"/>
                <w:noProof/>
                <w:sz w:val="26"/>
                <w:szCs w:val="26"/>
                <w:lang w:eastAsia="ru-RU"/>
              </w:rPr>
              <w:drawing>
                <wp:inline distT="0" distB="0" distL="0" distR="0">
                  <wp:extent cx="1114425" cy="971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4425" cy="971550"/>
                          </a:xfrm>
                          <a:prstGeom prst="rect">
                            <a:avLst/>
                          </a:prstGeom>
                          <a:noFill/>
                          <a:ln>
                            <a:noFill/>
                          </a:ln>
                        </pic:spPr>
                      </pic:pic>
                    </a:graphicData>
                  </a:graphic>
                </wp:inline>
              </w:drawing>
            </w:r>
          </w:p>
        </w:tc>
        <w:tc>
          <w:tcPr>
            <w:tcW w:w="6465" w:type="dxa"/>
            <w:tcBorders>
              <w:top w:val="nil"/>
              <w:left w:val="nil"/>
              <w:bottom w:val="nil"/>
              <w:right w:val="nil"/>
            </w:tcBorders>
            <w:shd w:val="clear" w:color="auto" w:fill="auto"/>
            <w:tcMar>
              <w:top w:w="100" w:type="dxa"/>
              <w:left w:w="100" w:type="dxa"/>
              <w:bottom w:w="100" w:type="dxa"/>
              <w:right w:w="100" w:type="dxa"/>
            </w:tcMar>
          </w:tcPr>
          <w:p w:rsidR="00260A1C" w:rsidRPr="00284AF5" w:rsidRDefault="00260A1C" w:rsidP="00E163CF">
            <w:p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AMENINȚĂRI</w:t>
            </w:r>
          </w:p>
          <w:p w:rsidR="00260A1C" w:rsidRPr="00284AF5" w:rsidRDefault="00260A1C" w:rsidP="00E163CF">
            <w:pPr>
              <w:numPr>
                <w:ilvl w:val="0"/>
                <w:numId w:val="17"/>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Migrația continuă a tinerilor spre orașe mari sau în străinătate, generând scăderea implicării civice și pierderea potențialului local.</w:t>
            </w:r>
          </w:p>
          <w:p w:rsidR="00260A1C" w:rsidRPr="00284AF5" w:rsidRDefault="00260A1C" w:rsidP="00E163CF">
            <w:pPr>
              <w:numPr>
                <w:ilvl w:val="0"/>
                <w:numId w:val="17"/>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Subfinanțarea sectorului de tineret și sport, care ar putea împiedica dezvoltarea programelor și serviciilor necesare.</w:t>
            </w:r>
          </w:p>
          <w:p w:rsidR="00260A1C" w:rsidRPr="00284AF5" w:rsidRDefault="00260A1C" w:rsidP="00E163CF">
            <w:pPr>
              <w:numPr>
                <w:ilvl w:val="0"/>
                <w:numId w:val="17"/>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Lipsa interesului autorităților locale în absența unor mecanisme de monitorizare, ceea ce poate duce la stagnarea implementării strategiilor.</w:t>
            </w:r>
          </w:p>
          <w:p w:rsidR="00260A1C" w:rsidRPr="00284AF5" w:rsidRDefault="00260A1C" w:rsidP="00E163CF">
            <w:pPr>
              <w:numPr>
                <w:ilvl w:val="0"/>
                <w:numId w:val="17"/>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Distanțe mari între localități și mobilitate redusă, care pot limita accesul tinerilor din mediul rural la oportunități educaționale, sportive și culturale.</w:t>
            </w:r>
          </w:p>
          <w:p w:rsidR="00260A1C" w:rsidRPr="00284AF5" w:rsidRDefault="00260A1C" w:rsidP="00E163CF">
            <w:pPr>
              <w:numPr>
                <w:ilvl w:val="0"/>
                <w:numId w:val="17"/>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Nivel scăzut de informare a tinerilor privind drepturile lor, programele disponibile, oportunitățile de dezvoltare și procesul decizional.</w:t>
            </w:r>
          </w:p>
          <w:p w:rsidR="00260A1C" w:rsidRPr="00284AF5" w:rsidRDefault="00260A1C" w:rsidP="00E163CF">
            <w:pPr>
              <w:numPr>
                <w:ilvl w:val="0"/>
                <w:numId w:val="17"/>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Fragmentarea actorilor comunitari, ceea ce reduce cooperarea intersectorială și consistența inițiativelor.</w:t>
            </w:r>
          </w:p>
          <w:p w:rsidR="00260A1C" w:rsidRPr="00284AF5" w:rsidRDefault="00260A1C" w:rsidP="00E163CF">
            <w:pPr>
              <w:numPr>
                <w:ilvl w:val="0"/>
                <w:numId w:val="17"/>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Declinul natalității care, pe termen lung, limitează numărul tinerilor și justificarea investițiilor.</w:t>
            </w:r>
          </w:p>
        </w:tc>
      </w:tr>
    </w:tbl>
    <w:p w:rsidR="00260A1C" w:rsidRPr="00284AF5" w:rsidRDefault="00260A1C" w:rsidP="00260A1C">
      <w:pPr>
        <w:spacing w:after="120" w:line="276" w:lineRule="auto"/>
        <w:jc w:val="both"/>
        <w:rPr>
          <w:rFonts w:ascii="Times New Roman" w:eastAsia="Times New Roman" w:hAnsi="Times New Roman"/>
          <w:b/>
          <w:bCs/>
          <w:sz w:val="24"/>
          <w:szCs w:val="24"/>
          <w:lang w:val="ro" w:eastAsia="ru-RU"/>
        </w:rPr>
      </w:pPr>
    </w:p>
    <w:p w:rsidR="00260A1C" w:rsidRDefault="00260A1C" w:rsidP="00260A1C">
      <w:pPr>
        <w:tabs>
          <w:tab w:val="left" w:pos="1110"/>
        </w:tabs>
        <w:spacing w:after="0" w:line="240" w:lineRule="auto"/>
        <w:contextualSpacing/>
        <w:rPr>
          <w:rFonts w:ascii="Times New Roman" w:eastAsia="Times New Roman" w:hAnsi="Times New Roman"/>
          <w:b/>
          <w:lang w:val="ro-MD" w:eastAsia="ru-RU"/>
        </w:rPr>
      </w:pPr>
      <w:r w:rsidRPr="00284AF5">
        <w:rPr>
          <w:rFonts w:ascii="Arial" w:eastAsia="Arial" w:hAnsi="Arial" w:cs="Arial"/>
          <w:lang w:val="ro" w:eastAsia="ru-RU"/>
        </w:rPr>
        <w:br w:type="page"/>
      </w:r>
    </w:p>
    <w:p w:rsidR="00260A1C" w:rsidRDefault="00260A1C" w:rsidP="00260A1C">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lastRenderedPageBreak/>
        <w:t xml:space="preserve">Anexa nr.3 </w:t>
      </w:r>
    </w:p>
    <w:p w:rsidR="00A82769" w:rsidRDefault="00A82769" w:rsidP="00A82769">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t xml:space="preserve">la Decizia nr. </w:t>
      </w:r>
      <w:r>
        <w:rPr>
          <w:rFonts w:ascii="Times New Roman" w:eastAsia="Times New Roman" w:hAnsi="Times New Roman"/>
          <w:b/>
          <w:u w:val="single"/>
          <w:lang w:val="ro-MD" w:eastAsia="ru-RU"/>
        </w:rPr>
        <w:t>2/15</w:t>
      </w:r>
      <w:r>
        <w:rPr>
          <w:rFonts w:ascii="Times New Roman" w:eastAsia="Times New Roman" w:hAnsi="Times New Roman"/>
          <w:b/>
          <w:lang w:val="ro-MD" w:eastAsia="ru-RU"/>
        </w:rPr>
        <w:t xml:space="preserve"> </w:t>
      </w:r>
    </w:p>
    <w:p w:rsidR="00A82769" w:rsidRDefault="00A82769" w:rsidP="00A82769">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t>din ,,_</w:t>
      </w:r>
      <w:r>
        <w:rPr>
          <w:rFonts w:ascii="Times New Roman" w:eastAsia="Times New Roman" w:hAnsi="Times New Roman"/>
          <w:b/>
          <w:u w:val="single"/>
          <w:lang w:val="ro-MD" w:eastAsia="ru-RU"/>
        </w:rPr>
        <w:t>30</w:t>
      </w:r>
      <w:r>
        <w:rPr>
          <w:rFonts w:ascii="Times New Roman" w:eastAsia="Times New Roman" w:hAnsi="Times New Roman"/>
          <w:b/>
          <w:lang w:val="ro-MD" w:eastAsia="ru-RU"/>
        </w:rPr>
        <w:t>_,,_</w:t>
      </w:r>
      <w:r>
        <w:rPr>
          <w:rFonts w:ascii="Times New Roman" w:eastAsia="Times New Roman" w:hAnsi="Times New Roman"/>
          <w:b/>
          <w:u w:val="single"/>
          <w:lang w:val="ro-MD" w:eastAsia="ru-RU"/>
        </w:rPr>
        <w:t>martie</w:t>
      </w:r>
      <w:r>
        <w:rPr>
          <w:rFonts w:ascii="Times New Roman" w:eastAsia="Times New Roman" w:hAnsi="Times New Roman"/>
          <w:b/>
          <w:lang w:val="ro-MD" w:eastAsia="ru-RU"/>
        </w:rPr>
        <w:t>_2026</w:t>
      </w:r>
    </w:p>
    <w:p w:rsidR="00260A1C" w:rsidRDefault="00260A1C" w:rsidP="00260A1C">
      <w:pPr>
        <w:tabs>
          <w:tab w:val="left" w:pos="1110"/>
        </w:tabs>
        <w:spacing w:after="0" w:line="240" w:lineRule="auto"/>
        <w:contextualSpacing/>
        <w:jc w:val="right"/>
        <w:rPr>
          <w:rFonts w:ascii="Times New Roman" w:eastAsia="Times New Roman" w:hAnsi="Times New Roman"/>
          <w:b/>
          <w:lang w:val="ro-MD" w:eastAsia="ru-RU"/>
        </w:rPr>
      </w:pPr>
    </w:p>
    <w:p w:rsidR="00260A1C" w:rsidRPr="00284AF5" w:rsidRDefault="00260A1C" w:rsidP="00260A1C">
      <w:pPr>
        <w:spacing w:after="120" w:line="276" w:lineRule="auto"/>
        <w:jc w:val="both"/>
        <w:rPr>
          <w:rFonts w:ascii="Times New Roman" w:eastAsia="Times New Roman" w:hAnsi="Times New Roman"/>
          <w:sz w:val="24"/>
          <w:szCs w:val="24"/>
          <w:lang w:val="ro" w:eastAsia="ru-RU"/>
        </w:rPr>
      </w:pPr>
    </w:p>
    <w:p w:rsidR="00260A1C" w:rsidRPr="00284AF5" w:rsidRDefault="00260A1C" w:rsidP="00260A1C">
      <w:pPr>
        <w:spacing w:after="120" w:line="276" w:lineRule="auto"/>
        <w:jc w:val="both"/>
        <w:rPr>
          <w:rFonts w:ascii="Times New Roman" w:eastAsia="Times New Roman" w:hAnsi="Times New Roman"/>
          <w:b/>
          <w:bCs/>
          <w:sz w:val="24"/>
          <w:szCs w:val="24"/>
          <w:lang w:val="ro" w:eastAsia="ru-RU"/>
        </w:rPr>
      </w:pPr>
      <w:r w:rsidRPr="00284AF5">
        <w:rPr>
          <w:rFonts w:ascii="Times New Roman" w:eastAsia="Times New Roman" w:hAnsi="Times New Roman"/>
          <w:b/>
          <w:bCs/>
          <w:sz w:val="24"/>
          <w:szCs w:val="24"/>
          <w:lang w:val="ro" w:eastAsia="ru-RU"/>
        </w:rPr>
        <w:t>Capitolul V.</w:t>
      </w:r>
      <w:r w:rsidR="00710E95" w:rsidRPr="00710E95">
        <w:rPr>
          <w:lang w:val="en-US"/>
        </w:rPr>
        <w:t xml:space="preserve"> </w:t>
      </w:r>
      <w:r w:rsidR="00710E95">
        <w:rPr>
          <w:lang w:val="en-US"/>
        </w:rPr>
        <w:t xml:space="preserve"> </w:t>
      </w:r>
      <w:r w:rsidR="00710E95" w:rsidRPr="00710E95">
        <w:rPr>
          <w:rFonts w:ascii="Times New Roman" w:eastAsia="Times New Roman" w:hAnsi="Times New Roman"/>
          <w:b/>
          <w:bCs/>
          <w:sz w:val="24"/>
          <w:szCs w:val="24"/>
          <w:lang w:val="ro" w:eastAsia="ru-RU"/>
        </w:rPr>
        <w:t>Monitorizarea Strategiei de dezvoltare socio-economică</w:t>
      </w:r>
      <w:r w:rsidRPr="00284AF5">
        <w:rPr>
          <w:rFonts w:ascii="Times New Roman" w:eastAsia="Times New Roman" w:hAnsi="Times New Roman"/>
          <w:b/>
          <w:bCs/>
          <w:sz w:val="24"/>
          <w:szCs w:val="24"/>
          <w:lang w:val="ro" w:eastAsia="ru-RU"/>
        </w:rPr>
        <w:t xml:space="preserve">  </w:t>
      </w:r>
    </w:p>
    <w:p w:rsidR="00B21215" w:rsidRDefault="00260A1C" w:rsidP="00260A1C">
      <w:pPr>
        <w:widowControl w:val="0"/>
        <w:spacing w:after="200" w:line="240" w:lineRule="auto"/>
        <w:jc w:val="both"/>
        <w:rPr>
          <w:rFonts w:ascii="Times New Roman" w:eastAsia="Times New Roman" w:hAnsi="Times New Roman"/>
          <w:b/>
          <w:bCs/>
          <w:i/>
          <w:iCs/>
          <w:sz w:val="24"/>
          <w:szCs w:val="24"/>
          <w:lang w:val="ro" w:eastAsia="ru-RU"/>
        </w:rPr>
      </w:pPr>
      <w:r w:rsidRPr="00284AF5">
        <w:rPr>
          <w:rFonts w:ascii="Times New Roman" w:eastAsia="Times New Roman" w:hAnsi="Times New Roman"/>
          <w:b/>
          <w:bCs/>
          <w:i/>
          <w:iCs/>
          <w:sz w:val="24"/>
          <w:szCs w:val="24"/>
          <w:lang w:val="ro" w:eastAsia="ru-RU"/>
        </w:rPr>
        <w:t xml:space="preserve">Obiectiv Strategic 7. Dezvoltarea și consolidarea sectorului de tineret </w:t>
      </w:r>
    </w:p>
    <w:p w:rsidR="00260A1C" w:rsidRPr="00B21215" w:rsidRDefault="00260A1C" w:rsidP="00260A1C">
      <w:pPr>
        <w:widowControl w:val="0"/>
        <w:spacing w:after="200" w:line="240" w:lineRule="auto"/>
        <w:jc w:val="both"/>
        <w:rPr>
          <w:rFonts w:ascii="Times New Roman" w:eastAsia="Times New Roman" w:hAnsi="Times New Roman"/>
          <w:b/>
          <w:bCs/>
          <w:iCs/>
          <w:sz w:val="24"/>
          <w:szCs w:val="24"/>
          <w:lang w:val="ro" w:eastAsia="ru-RU"/>
        </w:rPr>
      </w:pPr>
      <w:r w:rsidRPr="00B21215">
        <w:rPr>
          <w:rFonts w:ascii="Times New Roman" w:eastAsia="Times New Roman" w:hAnsi="Times New Roman"/>
          <w:b/>
          <w:bCs/>
          <w:iCs/>
          <w:sz w:val="24"/>
          <w:szCs w:val="24"/>
          <w:lang w:val="ro" w:eastAsia="ru-RU"/>
        </w:rPr>
        <w:t>contribuind astfel la crearea unui mediu adecvat pentru a asigura evoluția fiecărui tânăr în plan personal și profesional, inclusiv a celor din grupurile cu oportunități reduse.</w:t>
      </w:r>
    </w:p>
    <w:tbl>
      <w:tblPr>
        <w:tblW w:w="10335" w:type="dxa"/>
        <w:jc w:val="center"/>
        <w:tblLayout w:type="fixed"/>
        <w:tblLook w:val="0400" w:firstRow="0" w:lastRow="0" w:firstColumn="0" w:lastColumn="0" w:noHBand="0" w:noVBand="1"/>
      </w:tblPr>
      <w:tblGrid>
        <w:gridCol w:w="660"/>
        <w:gridCol w:w="3165"/>
        <w:gridCol w:w="6510"/>
      </w:tblGrid>
      <w:tr w:rsidR="00260A1C" w:rsidRPr="00C22C8D" w:rsidTr="00E163CF">
        <w:trPr>
          <w:trHeight w:val="427"/>
          <w:jc w:val="center"/>
        </w:trPr>
        <w:tc>
          <w:tcPr>
            <w:tcW w:w="10335" w:type="dxa"/>
            <w:gridSpan w:val="3"/>
            <w:tcBorders>
              <w:top w:val="single" w:sz="4" w:space="0" w:color="000000"/>
              <w:lef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b/>
                <w:bCs/>
                <w:sz w:val="24"/>
                <w:szCs w:val="24"/>
                <w:lang w:val="ro" w:eastAsia="ru-RU"/>
              </w:rPr>
            </w:pPr>
            <w:r w:rsidRPr="00284AF5">
              <w:rPr>
                <w:rFonts w:ascii="Times New Roman" w:eastAsia="Times New Roman" w:hAnsi="Times New Roman"/>
                <w:b/>
                <w:bCs/>
                <w:sz w:val="24"/>
                <w:szCs w:val="24"/>
                <w:lang w:val="ro" w:eastAsia="ru-RU"/>
              </w:rPr>
              <w:t>Prioritatea 1. Politici publice adaptate necesităților tinerilor: creșterea nivelului de participar</w:t>
            </w:r>
            <w:r>
              <w:rPr>
                <w:rFonts w:ascii="Times New Roman" w:eastAsia="Times New Roman" w:hAnsi="Times New Roman"/>
                <w:b/>
                <w:bCs/>
                <w:sz w:val="24"/>
                <w:szCs w:val="24"/>
                <w:lang w:val="ro" w:eastAsia="ru-RU"/>
              </w:rPr>
              <w:t>e a tinerilor din raionul Sîngerei</w:t>
            </w:r>
            <w:r w:rsidRPr="00284AF5">
              <w:rPr>
                <w:rFonts w:ascii="Times New Roman" w:eastAsia="Times New Roman" w:hAnsi="Times New Roman"/>
                <w:b/>
                <w:bCs/>
                <w:sz w:val="24"/>
                <w:szCs w:val="24"/>
                <w:lang w:val="ro" w:eastAsia="ru-RU"/>
              </w:rPr>
              <w:t xml:space="preserve"> în procesul decizional și în activități comunitare </w:t>
            </w:r>
          </w:p>
        </w:tc>
      </w:tr>
      <w:tr w:rsidR="00260A1C" w:rsidRPr="00284AF5" w:rsidTr="00E163CF">
        <w:trPr>
          <w:trHeight w:val="255"/>
          <w:jc w:val="center"/>
        </w:trPr>
        <w:tc>
          <w:tcPr>
            <w:tcW w:w="660" w:type="dxa"/>
            <w:tcBorders>
              <w:top w:val="single" w:sz="4" w:space="0" w:color="000000"/>
              <w:lef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sz w:val="24"/>
                <w:szCs w:val="24"/>
                <w:lang w:val="ro" w:eastAsia="ru-RU"/>
              </w:rPr>
            </w:pPr>
            <w:r w:rsidRPr="00284AF5">
              <w:rPr>
                <w:rFonts w:ascii="Times New Roman" w:eastAsia="Times New Roman" w:hAnsi="Times New Roman"/>
                <w:b/>
                <w:bCs/>
                <w:sz w:val="24"/>
                <w:szCs w:val="24"/>
                <w:lang w:val="ro" w:eastAsia="ru-RU"/>
              </w:rPr>
              <w:t>NR</w:t>
            </w:r>
          </w:p>
        </w:tc>
        <w:tc>
          <w:tcPr>
            <w:tcW w:w="3165" w:type="dxa"/>
            <w:tcBorders>
              <w:top w:val="single" w:sz="4" w:space="0" w:color="000000"/>
              <w:lef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sz w:val="24"/>
                <w:szCs w:val="24"/>
                <w:lang w:val="ro" w:eastAsia="ru-RU"/>
              </w:rPr>
            </w:pPr>
            <w:r w:rsidRPr="00284AF5">
              <w:rPr>
                <w:rFonts w:ascii="Times New Roman" w:eastAsia="Times New Roman" w:hAnsi="Times New Roman"/>
                <w:b/>
                <w:bCs/>
                <w:sz w:val="24"/>
                <w:szCs w:val="24"/>
                <w:lang w:val="ro" w:eastAsia="ru-RU"/>
              </w:rPr>
              <w:t>PROGRAM</w:t>
            </w:r>
          </w:p>
        </w:tc>
        <w:tc>
          <w:tcPr>
            <w:tcW w:w="6510" w:type="dxa"/>
            <w:tcBorders>
              <w:top w:val="single" w:sz="4" w:space="0" w:color="000000"/>
              <w:left w:val="single" w:sz="4" w:space="0" w:color="000000"/>
              <w:righ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sz w:val="24"/>
                <w:szCs w:val="24"/>
                <w:lang w:val="ro" w:eastAsia="ru-RU"/>
              </w:rPr>
            </w:pPr>
            <w:r w:rsidRPr="00284AF5">
              <w:rPr>
                <w:rFonts w:ascii="Times New Roman" w:eastAsia="Times New Roman" w:hAnsi="Times New Roman"/>
                <w:b/>
                <w:bCs/>
                <w:sz w:val="24"/>
                <w:szCs w:val="24"/>
                <w:lang w:val="ro" w:eastAsia="ru-RU"/>
              </w:rPr>
              <w:t>INDICATORII DE MONITORIZARE</w:t>
            </w:r>
          </w:p>
        </w:tc>
      </w:tr>
      <w:tr w:rsidR="00260A1C" w:rsidRPr="00C22C8D" w:rsidTr="00E163CF">
        <w:trPr>
          <w:trHeight w:val="1585"/>
          <w:jc w:val="center"/>
        </w:trPr>
        <w:tc>
          <w:tcPr>
            <w:tcW w:w="660" w:type="dxa"/>
            <w:tcBorders>
              <w:top w:val="single" w:sz="4" w:space="0" w:color="000000"/>
              <w:left w:val="single" w:sz="4" w:space="0" w:color="000000"/>
            </w:tcBorders>
            <w:shd w:val="clear" w:color="auto" w:fill="auto"/>
            <w:tcMar>
              <w:top w:w="0" w:type="dxa"/>
              <w:bottom w:w="0" w:type="dxa"/>
            </w:tcMar>
          </w:tcPr>
          <w:p w:rsidR="00260A1C" w:rsidRPr="00284AF5" w:rsidRDefault="00260A1C" w:rsidP="00E163CF">
            <w:pPr>
              <w:widowControl w:val="0"/>
              <w:spacing w:after="120" w:line="240" w:lineRule="auto"/>
              <w:ind w:firstLine="240"/>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1.</w:t>
            </w:r>
          </w:p>
        </w:tc>
        <w:tc>
          <w:tcPr>
            <w:tcW w:w="3165" w:type="dxa"/>
            <w:tcBorders>
              <w:top w:val="single" w:sz="4" w:space="0" w:color="000000"/>
              <w:left w:val="single" w:sz="4" w:space="0" w:color="000000"/>
            </w:tcBorders>
            <w:shd w:val="clear" w:color="auto" w:fill="auto"/>
            <w:tcMar>
              <w:top w:w="0" w:type="dxa"/>
              <w:bottom w:w="0" w:type="dxa"/>
            </w:tcMar>
          </w:tcPr>
          <w:p w:rsidR="00260A1C" w:rsidRPr="00284AF5" w:rsidRDefault="00260A1C" w:rsidP="00E163CF">
            <w:pPr>
              <w:widowControl w:val="0"/>
              <w:spacing w:after="12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Organizarea anuală de consultări și focus-grupuri cu tinerii din mediul urban și rural</w:t>
            </w:r>
          </w:p>
        </w:tc>
        <w:tc>
          <w:tcPr>
            <w:tcW w:w="6510" w:type="dxa"/>
            <w:tcBorders>
              <w:top w:val="single" w:sz="4" w:space="0" w:color="000000"/>
              <w:left w:val="single" w:sz="4" w:space="0" w:color="000000"/>
              <w:right w:val="single" w:sz="4" w:space="0" w:color="000000"/>
            </w:tcBorders>
            <w:shd w:val="clear" w:color="auto" w:fill="auto"/>
            <w:tcMar>
              <w:top w:w="0" w:type="dxa"/>
              <w:bottom w:w="0" w:type="dxa"/>
            </w:tcMar>
            <w:vAlign w:val="bottom"/>
          </w:tcPr>
          <w:p w:rsidR="00260A1C" w:rsidRPr="00284AF5" w:rsidRDefault="00260A1C" w:rsidP="00E163CF">
            <w:pPr>
              <w:numPr>
                <w:ilvl w:val="0"/>
                <w:numId w:val="6"/>
              </w:numPr>
              <w:tabs>
                <w:tab w:val="left" w:pos="230"/>
              </w:tabs>
              <w:spacing w:after="12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tinerilor care participă anual la activități de educație non-formală (țintă 60%)</w:t>
            </w:r>
          </w:p>
          <w:p w:rsidR="00260A1C" w:rsidRPr="00284AF5" w:rsidRDefault="00260A1C" w:rsidP="00E163CF">
            <w:pPr>
              <w:numPr>
                <w:ilvl w:val="0"/>
                <w:numId w:val="6"/>
              </w:numPr>
              <w:tabs>
                <w:tab w:val="left" w:pos="230"/>
              </w:tabs>
              <w:spacing w:after="12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APL care organizează cel puțin o consultare publică anuală cu tinerii (țintă 80%)</w:t>
            </w:r>
          </w:p>
        </w:tc>
      </w:tr>
      <w:tr w:rsidR="00260A1C" w:rsidRPr="00C22C8D" w:rsidTr="00E163CF">
        <w:trPr>
          <w:trHeight w:val="1095"/>
          <w:jc w:val="center"/>
        </w:trPr>
        <w:tc>
          <w:tcPr>
            <w:tcW w:w="660" w:type="dxa"/>
            <w:tcBorders>
              <w:top w:val="single" w:sz="4" w:space="0" w:color="000000"/>
              <w:left w:val="single" w:sz="4" w:space="0" w:color="000000"/>
            </w:tcBorders>
            <w:shd w:val="clear" w:color="auto" w:fill="auto"/>
            <w:tcMar>
              <w:top w:w="0" w:type="dxa"/>
              <w:bottom w:w="0" w:type="dxa"/>
            </w:tcMar>
            <w:vAlign w:val="center"/>
          </w:tcPr>
          <w:p w:rsidR="00260A1C" w:rsidRPr="00284AF5" w:rsidRDefault="00260A1C" w:rsidP="00E163CF">
            <w:pPr>
              <w:widowControl w:val="0"/>
              <w:spacing w:after="120" w:line="240" w:lineRule="auto"/>
              <w:ind w:firstLine="240"/>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2.</w:t>
            </w:r>
          </w:p>
        </w:tc>
        <w:tc>
          <w:tcPr>
            <w:tcW w:w="3165" w:type="dxa"/>
            <w:tcBorders>
              <w:top w:val="single" w:sz="4" w:space="0" w:color="000000"/>
              <w:left w:val="single" w:sz="4" w:space="0" w:color="000000"/>
            </w:tcBorders>
            <w:shd w:val="clear" w:color="auto" w:fill="auto"/>
            <w:tcMar>
              <w:top w:w="0" w:type="dxa"/>
              <w:bottom w:w="0" w:type="dxa"/>
            </w:tcMar>
            <w:vAlign w:val="center"/>
          </w:tcPr>
          <w:p w:rsidR="00260A1C" w:rsidRPr="00284AF5" w:rsidRDefault="00260A1C" w:rsidP="00E163CF">
            <w:pPr>
              <w:widowControl w:val="0"/>
              <w:spacing w:after="12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Elaborarea și actualizarea documentelor de politici publice locale (planuri, bugete) cu implicarea tinerilor și integrarea recomandărilor lor</w:t>
            </w:r>
          </w:p>
        </w:tc>
        <w:tc>
          <w:tcPr>
            <w:tcW w:w="6510" w:type="dxa"/>
            <w:tcBorders>
              <w:top w:val="single" w:sz="4" w:space="0" w:color="000000"/>
              <w:left w:val="single" w:sz="4" w:space="0" w:color="000000"/>
              <w:right w:val="single" w:sz="4" w:space="0" w:color="000000"/>
            </w:tcBorders>
            <w:shd w:val="clear" w:color="auto" w:fill="auto"/>
            <w:tcMar>
              <w:top w:w="0" w:type="dxa"/>
              <w:bottom w:w="0" w:type="dxa"/>
            </w:tcMar>
          </w:tcPr>
          <w:p w:rsidR="00260A1C" w:rsidRPr="00284AF5" w:rsidRDefault="00260A1C" w:rsidP="00E163CF">
            <w:pPr>
              <w:widowControl w:val="0"/>
              <w:numPr>
                <w:ilvl w:val="0"/>
                <w:numId w:val="14"/>
              </w:numPr>
              <w:tabs>
                <w:tab w:val="left" w:pos="336"/>
              </w:tabs>
              <w:spacing w:after="12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documentelor de politici publice consultate cu tinerii (țintă 70%)</w:t>
            </w:r>
          </w:p>
          <w:p w:rsidR="00260A1C" w:rsidRPr="00284AF5" w:rsidRDefault="00260A1C" w:rsidP="00E163CF">
            <w:pPr>
              <w:widowControl w:val="0"/>
              <w:numPr>
                <w:ilvl w:val="0"/>
                <w:numId w:val="14"/>
              </w:numPr>
              <w:tabs>
                <w:tab w:val="left" w:pos="336"/>
              </w:tabs>
              <w:spacing w:after="12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documentelor care includ indicatori dezagregați pe criteriul de vârstă și intervenții pentru tineri (țintă 70%)</w:t>
            </w:r>
          </w:p>
        </w:tc>
      </w:tr>
      <w:tr w:rsidR="00260A1C" w:rsidRPr="00C22C8D" w:rsidTr="00E163CF">
        <w:trPr>
          <w:trHeight w:val="1095"/>
          <w:jc w:val="center"/>
        </w:trPr>
        <w:tc>
          <w:tcPr>
            <w:tcW w:w="660" w:type="dxa"/>
            <w:tcBorders>
              <w:top w:val="single" w:sz="4" w:space="0" w:color="000000"/>
              <w:left w:val="single" w:sz="4" w:space="0" w:color="000000"/>
            </w:tcBorders>
            <w:shd w:val="clear" w:color="auto" w:fill="auto"/>
            <w:tcMar>
              <w:top w:w="0" w:type="dxa"/>
              <w:bottom w:w="0" w:type="dxa"/>
            </w:tcMar>
            <w:vAlign w:val="center"/>
          </w:tcPr>
          <w:p w:rsidR="00260A1C" w:rsidRPr="00284AF5" w:rsidRDefault="00260A1C" w:rsidP="00E163CF">
            <w:pPr>
              <w:widowControl w:val="0"/>
              <w:spacing w:after="120" w:line="240" w:lineRule="auto"/>
              <w:ind w:firstLine="240"/>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3.</w:t>
            </w:r>
          </w:p>
        </w:tc>
        <w:tc>
          <w:tcPr>
            <w:tcW w:w="3165" w:type="dxa"/>
            <w:tcBorders>
              <w:top w:val="single" w:sz="4" w:space="0" w:color="000000"/>
              <w:left w:val="single" w:sz="4" w:space="0" w:color="000000"/>
            </w:tcBorders>
            <w:shd w:val="clear" w:color="auto" w:fill="auto"/>
            <w:tcMar>
              <w:top w:w="0" w:type="dxa"/>
              <w:bottom w:w="0" w:type="dxa"/>
            </w:tcMar>
            <w:vAlign w:val="center"/>
          </w:tcPr>
          <w:p w:rsidR="00260A1C" w:rsidRPr="00284AF5" w:rsidRDefault="00260A1C" w:rsidP="00E163CF">
            <w:pPr>
              <w:widowControl w:val="0"/>
              <w:spacing w:after="12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Instruirea a minim 3 angajați APL pe an în domeniul implicării tinerilor și evaluării politicilor locale</w:t>
            </w:r>
          </w:p>
        </w:tc>
        <w:tc>
          <w:tcPr>
            <w:tcW w:w="6510" w:type="dxa"/>
            <w:tcBorders>
              <w:top w:val="single" w:sz="4" w:space="0" w:color="000000"/>
              <w:left w:val="single" w:sz="4" w:space="0" w:color="000000"/>
              <w:right w:val="single" w:sz="4" w:space="0" w:color="000000"/>
            </w:tcBorders>
            <w:shd w:val="clear" w:color="auto" w:fill="auto"/>
            <w:tcMar>
              <w:top w:w="0" w:type="dxa"/>
              <w:bottom w:w="0" w:type="dxa"/>
            </w:tcMar>
          </w:tcPr>
          <w:p w:rsidR="00260A1C" w:rsidRPr="00284AF5" w:rsidRDefault="00260A1C" w:rsidP="00E163CF">
            <w:pPr>
              <w:widowControl w:val="0"/>
              <w:numPr>
                <w:ilvl w:val="0"/>
                <w:numId w:val="13"/>
              </w:numPr>
              <w:tabs>
                <w:tab w:val="left" w:pos="336"/>
              </w:tabs>
              <w:spacing w:after="12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APL de nivel I și II în care cel puțin 3 persoane au beneficiat de instruire în ultimii 3 ani (țintă 100%)</w:t>
            </w:r>
          </w:p>
          <w:p w:rsidR="00260A1C" w:rsidRPr="00284AF5" w:rsidRDefault="00260A1C" w:rsidP="00E163CF">
            <w:pPr>
              <w:widowControl w:val="0"/>
              <w:numPr>
                <w:ilvl w:val="0"/>
                <w:numId w:val="13"/>
              </w:numPr>
              <w:tabs>
                <w:tab w:val="left" w:pos="336"/>
              </w:tabs>
              <w:spacing w:after="12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APL care alocă anual resurse pentru activități de tineret (țintă 90%)</w:t>
            </w:r>
          </w:p>
        </w:tc>
      </w:tr>
      <w:tr w:rsidR="00260A1C" w:rsidRPr="00C22C8D" w:rsidTr="00E163CF">
        <w:trPr>
          <w:trHeight w:val="540"/>
          <w:jc w:val="center"/>
        </w:trPr>
        <w:tc>
          <w:tcPr>
            <w:tcW w:w="10335" w:type="dxa"/>
            <w:gridSpan w:val="3"/>
            <w:tcBorders>
              <w:top w:val="single" w:sz="4" w:space="0" w:color="000000"/>
              <w:lef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b/>
                <w:bCs/>
                <w:sz w:val="24"/>
                <w:szCs w:val="24"/>
                <w:lang w:val="ro" w:eastAsia="ru-RU"/>
              </w:rPr>
            </w:pPr>
            <w:r w:rsidRPr="00284AF5">
              <w:rPr>
                <w:rFonts w:ascii="Times New Roman" w:eastAsia="Times New Roman" w:hAnsi="Times New Roman"/>
                <w:b/>
                <w:bCs/>
                <w:sz w:val="24"/>
                <w:szCs w:val="24"/>
                <w:lang w:val="ro" w:eastAsia="ru-RU"/>
              </w:rPr>
              <w:t>Prioritatea 2. Dezvoltarea serviciilor și structurilor de tineret: asigurarea accesului tinerilor la o gamă complexă de servicii de tineret calitative care contribuie la formarea cunoștințelor, abilităților, deprinderilor, atitudinilor și comportamentelor necesare pentru integrarea cât mai reușită a tinerilor în societate</w:t>
            </w:r>
          </w:p>
        </w:tc>
      </w:tr>
      <w:tr w:rsidR="00260A1C" w:rsidRPr="00284AF5" w:rsidTr="00E163CF">
        <w:trPr>
          <w:trHeight w:val="375"/>
          <w:jc w:val="center"/>
        </w:trPr>
        <w:tc>
          <w:tcPr>
            <w:tcW w:w="660" w:type="dxa"/>
            <w:tcBorders>
              <w:top w:val="single" w:sz="4" w:space="0" w:color="000000"/>
              <w:lef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sz w:val="24"/>
                <w:szCs w:val="24"/>
                <w:lang w:val="ro" w:eastAsia="ru-RU"/>
              </w:rPr>
            </w:pPr>
            <w:r w:rsidRPr="00284AF5">
              <w:rPr>
                <w:rFonts w:ascii="Times New Roman" w:eastAsia="Times New Roman" w:hAnsi="Times New Roman"/>
                <w:b/>
                <w:bCs/>
                <w:sz w:val="24"/>
                <w:szCs w:val="24"/>
                <w:lang w:val="ro" w:eastAsia="ru-RU"/>
              </w:rPr>
              <w:t>NR</w:t>
            </w:r>
          </w:p>
        </w:tc>
        <w:tc>
          <w:tcPr>
            <w:tcW w:w="3165" w:type="dxa"/>
            <w:tcBorders>
              <w:top w:val="single" w:sz="4" w:space="0" w:color="000000"/>
              <w:lef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sz w:val="24"/>
                <w:szCs w:val="24"/>
                <w:lang w:val="ro" w:eastAsia="ru-RU"/>
              </w:rPr>
            </w:pPr>
            <w:r w:rsidRPr="00284AF5">
              <w:rPr>
                <w:rFonts w:ascii="Times New Roman" w:eastAsia="Times New Roman" w:hAnsi="Times New Roman"/>
                <w:b/>
                <w:bCs/>
                <w:sz w:val="24"/>
                <w:szCs w:val="24"/>
                <w:lang w:val="ro" w:eastAsia="ru-RU"/>
              </w:rPr>
              <w:t>PROGRAM</w:t>
            </w:r>
          </w:p>
        </w:tc>
        <w:tc>
          <w:tcPr>
            <w:tcW w:w="6510" w:type="dxa"/>
            <w:tcBorders>
              <w:top w:val="single" w:sz="4" w:space="0" w:color="000000"/>
              <w:left w:val="single" w:sz="4" w:space="0" w:color="000000"/>
              <w:righ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sz w:val="24"/>
                <w:szCs w:val="24"/>
                <w:lang w:val="ro" w:eastAsia="ru-RU"/>
              </w:rPr>
            </w:pPr>
            <w:r w:rsidRPr="00284AF5">
              <w:rPr>
                <w:rFonts w:ascii="Times New Roman" w:eastAsia="Times New Roman" w:hAnsi="Times New Roman"/>
                <w:b/>
                <w:bCs/>
                <w:sz w:val="24"/>
                <w:szCs w:val="24"/>
                <w:lang w:val="ro" w:eastAsia="ru-RU"/>
              </w:rPr>
              <w:t>INDICATORII DE MONITORIZARE</w:t>
            </w:r>
          </w:p>
        </w:tc>
      </w:tr>
      <w:tr w:rsidR="00260A1C" w:rsidRPr="00C22C8D" w:rsidTr="00E163CF">
        <w:trPr>
          <w:trHeight w:val="600"/>
          <w:jc w:val="center"/>
        </w:trPr>
        <w:tc>
          <w:tcPr>
            <w:tcW w:w="660" w:type="dxa"/>
            <w:tcBorders>
              <w:top w:val="single" w:sz="4" w:space="0" w:color="000000"/>
              <w:left w:val="single" w:sz="4" w:space="0" w:color="000000"/>
              <w:bottom w:val="single" w:sz="4" w:space="0" w:color="000000"/>
            </w:tcBorders>
            <w:shd w:val="clear" w:color="auto" w:fill="auto"/>
            <w:tcMar>
              <w:top w:w="0" w:type="dxa"/>
              <w:bottom w:w="0" w:type="dxa"/>
            </w:tcMar>
          </w:tcPr>
          <w:p w:rsidR="00260A1C" w:rsidRPr="00284AF5" w:rsidRDefault="00260A1C" w:rsidP="00E163CF">
            <w:pPr>
              <w:widowControl w:val="0"/>
              <w:numPr>
                <w:ilvl w:val="0"/>
                <w:numId w:val="11"/>
              </w:numPr>
              <w:spacing w:after="0" w:line="240" w:lineRule="auto"/>
              <w:rPr>
                <w:rFonts w:ascii="Times New Roman" w:eastAsia="Times New Roman" w:hAnsi="Times New Roman"/>
                <w:sz w:val="24"/>
                <w:szCs w:val="24"/>
                <w:lang w:val="ro" w:eastAsia="ru-RU"/>
              </w:rPr>
            </w:pPr>
          </w:p>
        </w:tc>
        <w:tc>
          <w:tcPr>
            <w:tcW w:w="3165" w:type="dxa"/>
            <w:tcBorders>
              <w:top w:val="single" w:sz="4" w:space="0" w:color="000000"/>
              <w:left w:val="single" w:sz="4" w:space="0" w:color="000000"/>
              <w:bottom w:val="single" w:sz="4" w:space="0" w:color="000000"/>
            </w:tcBorders>
            <w:shd w:val="clear" w:color="auto" w:fill="auto"/>
            <w:tcMar>
              <w:top w:w="0" w:type="dxa"/>
              <w:bottom w:w="0" w:type="dxa"/>
            </w:tcMar>
            <w:vAlign w:val="center"/>
          </w:tcPr>
          <w:p w:rsidR="00260A1C" w:rsidRPr="00284AF5" w:rsidRDefault="00260A1C" w:rsidP="00E163CF">
            <w:pPr>
              <w:widowControl w:val="0"/>
              <w:spacing w:after="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Consolidarea Centrului Raional de Tineret Sîngerei și dotarea lui</w:t>
            </w:r>
          </w:p>
        </w:tc>
        <w:tc>
          <w:tcPr>
            <w:tcW w:w="6510"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260A1C" w:rsidRPr="00284AF5" w:rsidRDefault="00260A1C" w:rsidP="00E163CF">
            <w:pPr>
              <w:widowControl w:val="0"/>
              <w:numPr>
                <w:ilvl w:val="0"/>
                <w:numId w:val="21"/>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Centrele de tineret dispun de buget anual suficient pentru implementarea gamei de servicii conform necesităților tinerilor (țintă 100%)</w:t>
            </w:r>
          </w:p>
          <w:p w:rsidR="00260A1C" w:rsidRPr="00284AF5" w:rsidRDefault="00260A1C" w:rsidP="00E163CF">
            <w:pPr>
              <w:widowControl w:val="0"/>
              <w:numPr>
                <w:ilvl w:val="0"/>
                <w:numId w:val="21"/>
              </w:numPr>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tinerilor care participă la cel puțin o activitate anual la centrul de tineret (țintă 50%)</w:t>
            </w:r>
          </w:p>
        </w:tc>
      </w:tr>
      <w:tr w:rsidR="00260A1C" w:rsidRPr="00C22C8D" w:rsidTr="00E163CF">
        <w:trPr>
          <w:trHeight w:val="1320"/>
          <w:jc w:val="center"/>
        </w:trPr>
        <w:tc>
          <w:tcPr>
            <w:tcW w:w="660" w:type="dxa"/>
            <w:tcBorders>
              <w:top w:val="single" w:sz="4" w:space="0" w:color="000000"/>
              <w:left w:val="single" w:sz="4" w:space="0" w:color="000000"/>
              <w:bottom w:val="single" w:sz="4" w:space="0" w:color="000000"/>
            </w:tcBorders>
            <w:shd w:val="clear" w:color="auto" w:fill="auto"/>
            <w:tcMar>
              <w:top w:w="0" w:type="dxa"/>
              <w:bottom w:w="0" w:type="dxa"/>
            </w:tcMar>
          </w:tcPr>
          <w:p w:rsidR="00260A1C" w:rsidRPr="00284AF5" w:rsidRDefault="00260A1C" w:rsidP="00E163CF">
            <w:pPr>
              <w:widowControl w:val="0"/>
              <w:numPr>
                <w:ilvl w:val="0"/>
                <w:numId w:val="11"/>
              </w:numPr>
              <w:spacing w:after="0" w:line="240" w:lineRule="auto"/>
              <w:rPr>
                <w:rFonts w:ascii="Times New Roman" w:eastAsia="Times New Roman" w:hAnsi="Times New Roman"/>
                <w:sz w:val="24"/>
                <w:szCs w:val="24"/>
                <w:lang w:val="ro" w:eastAsia="ru-RU"/>
              </w:rPr>
            </w:pPr>
          </w:p>
        </w:tc>
        <w:tc>
          <w:tcPr>
            <w:tcW w:w="3165" w:type="dxa"/>
            <w:tcBorders>
              <w:top w:val="single" w:sz="4" w:space="0" w:color="000000"/>
              <w:left w:val="single" w:sz="4" w:space="0" w:color="000000"/>
              <w:bottom w:val="single" w:sz="4" w:space="0" w:color="000000"/>
            </w:tcBorders>
            <w:shd w:val="clear" w:color="auto" w:fill="auto"/>
            <w:tcMar>
              <w:top w:w="0" w:type="dxa"/>
              <w:bottom w:w="0" w:type="dxa"/>
            </w:tcMar>
            <w:vAlign w:val="center"/>
          </w:tcPr>
          <w:p w:rsidR="00260A1C" w:rsidRPr="00284AF5" w:rsidRDefault="00260A1C" w:rsidP="00E163CF">
            <w:pPr>
              <w:widowControl w:val="0"/>
              <w:spacing w:after="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Organizarea anuală a minim 12 activități recreative, culturale, sportive și educative pentru tineri</w:t>
            </w:r>
          </w:p>
        </w:tc>
        <w:tc>
          <w:tcPr>
            <w:tcW w:w="6510"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260A1C" w:rsidRPr="00284AF5" w:rsidRDefault="00260A1C" w:rsidP="00E163CF">
            <w:pPr>
              <w:widowControl w:val="0"/>
              <w:numPr>
                <w:ilvl w:val="0"/>
                <w:numId w:val="7"/>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Rata de satisfacție a tinerilor privind serviciile oferite (țintă 80%)</w:t>
            </w:r>
          </w:p>
          <w:p w:rsidR="00260A1C" w:rsidRPr="00284AF5" w:rsidRDefault="00260A1C" w:rsidP="00E163CF">
            <w:pPr>
              <w:widowControl w:val="0"/>
              <w:numPr>
                <w:ilvl w:val="0"/>
                <w:numId w:val="7"/>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tinerilor implicați în activități organizate de CLT sau grupuri neformale (țintă 30%)</w:t>
            </w:r>
          </w:p>
        </w:tc>
      </w:tr>
      <w:tr w:rsidR="00260A1C" w:rsidRPr="00C22C8D" w:rsidTr="00E163CF">
        <w:trPr>
          <w:trHeight w:val="1320"/>
          <w:jc w:val="center"/>
        </w:trPr>
        <w:tc>
          <w:tcPr>
            <w:tcW w:w="660" w:type="dxa"/>
            <w:tcBorders>
              <w:top w:val="single" w:sz="4" w:space="0" w:color="000000"/>
              <w:left w:val="single" w:sz="4" w:space="0" w:color="000000"/>
              <w:bottom w:val="single" w:sz="4" w:space="0" w:color="000000"/>
            </w:tcBorders>
            <w:shd w:val="clear" w:color="auto" w:fill="auto"/>
            <w:tcMar>
              <w:top w:w="0" w:type="dxa"/>
              <w:bottom w:w="0" w:type="dxa"/>
            </w:tcMar>
          </w:tcPr>
          <w:p w:rsidR="00260A1C" w:rsidRPr="00284AF5" w:rsidRDefault="00260A1C" w:rsidP="00E163CF">
            <w:pPr>
              <w:widowControl w:val="0"/>
              <w:numPr>
                <w:ilvl w:val="0"/>
                <w:numId w:val="11"/>
              </w:numPr>
              <w:spacing w:after="0" w:line="240" w:lineRule="auto"/>
              <w:rPr>
                <w:rFonts w:ascii="Times New Roman" w:eastAsia="Times New Roman" w:hAnsi="Times New Roman"/>
                <w:sz w:val="24"/>
                <w:szCs w:val="24"/>
                <w:lang w:val="ro" w:eastAsia="ru-RU"/>
              </w:rPr>
            </w:pPr>
          </w:p>
        </w:tc>
        <w:tc>
          <w:tcPr>
            <w:tcW w:w="3165" w:type="dxa"/>
            <w:tcBorders>
              <w:top w:val="single" w:sz="4" w:space="0" w:color="000000"/>
              <w:left w:val="single" w:sz="4" w:space="0" w:color="000000"/>
              <w:bottom w:val="single" w:sz="4" w:space="0" w:color="000000"/>
            </w:tcBorders>
            <w:shd w:val="clear" w:color="auto" w:fill="auto"/>
            <w:tcMar>
              <w:top w:w="0" w:type="dxa"/>
              <w:bottom w:w="0" w:type="dxa"/>
            </w:tcMar>
            <w:vAlign w:val="center"/>
          </w:tcPr>
          <w:p w:rsidR="00260A1C" w:rsidRPr="00284AF5" w:rsidRDefault="00260A1C" w:rsidP="00E163CF">
            <w:pPr>
              <w:widowControl w:val="0"/>
              <w:spacing w:after="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Formarea și instruirea lucrătorilor de tineret în implementarea eficientă a serviciilor (minim 20 zile de training/an)</w:t>
            </w:r>
          </w:p>
        </w:tc>
        <w:tc>
          <w:tcPr>
            <w:tcW w:w="6510"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260A1C" w:rsidRPr="00284AF5" w:rsidRDefault="00260A1C" w:rsidP="00E163CF">
            <w:pPr>
              <w:widowControl w:val="0"/>
              <w:numPr>
                <w:ilvl w:val="0"/>
                <w:numId w:val="15"/>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lucrătorilor de tineret care beneficiază anual de programe de capacitare (țintă 100%)</w:t>
            </w:r>
          </w:p>
          <w:p w:rsidR="00260A1C" w:rsidRPr="00284AF5" w:rsidRDefault="00260A1C" w:rsidP="00E163CF">
            <w:pPr>
              <w:widowControl w:val="0"/>
              <w:numPr>
                <w:ilvl w:val="0"/>
                <w:numId w:val="15"/>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Rata de satisfacție a tinerilor cu privire la activitatea lucrătorilor de tineret (țintă 80%)</w:t>
            </w:r>
          </w:p>
        </w:tc>
      </w:tr>
      <w:tr w:rsidR="00260A1C" w:rsidRPr="00C22C8D" w:rsidTr="00E163CF">
        <w:trPr>
          <w:trHeight w:val="975"/>
          <w:jc w:val="center"/>
        </w:trPr>
        <w:tc>
          <w:tcPr>
            <w:tcW w:w="660" w:type="dxa"/>
            <w:tcBorders>
              <w:top w:val="single" w:sz="4" w:space="0" w:color="000000"/>
              <w:left w:val="single" w:sz="4" w:space="0" w:color="000000"/>
              <w:bottom w:val="single" w:sz="4" w:space="0" w:color="000000"/>
            </w:tcBorders>
            <w:shd w:val="clear" w:color="auto" w:fill="auto"/>
            <w:tcMar>
              <w:top w:w="0" w:type="dxa"/>
              <w:bottom w:w="0" w:type="dxa"/>
            </w:tcMar>
          </w:tcPr>
          <w:p w:rsidR="00260A1C" w:rsidRPr="00284AF5" w:rsidRDefault="00260A1C" w:rsidP="00E163CF">
            <w:pPr>
              <w:widowControl w:val="0"/>
              <w:numPr>
                <w:ilvl w:val="0"/>
                <w:numId w:val="11"/>
              </w:numPr>
              <w:spacing w:after="0" w:line="240" w:lineRule="auto"/>
              <w:rPr>
                <w:rFonts w:ascii="Times New Roman" w:eastAsia="Times New Roman" w:hAnsi="Times New Roman"/>
                <w:sz w:val="24"/>
                <w:szCs w:val="24"/>
                <w:lang w:val="ro" w:eastAsia="ru-RU"/>
              </w:rPr>
            </w:pPr>
          </w:p>
        </w:tc>
        <w:tc>
          <w:tcPr>
            <w:tcW w:w="3165" w:type="dxa"/>
            <w:tcBorders>
              <w:top w:val="single" w:sz="4" w:space="0" w:color="000000"/>
              <w:left w:val="single" w:sz="4" w:space="0" w:color="000000"/>
              <w:bottom w:val="single" w:sz="4" w:space="0" w:color="000000"/>
            </w:tcBorders>
            <w:shd w:val="clear" w:color="auto" w:fill="auto"/>
            <w:tcMar>
              <w:top w:w="0" w:type="dxa"/>
              <w:bottom w:w="0" w:type="dxa"/>
            </w:tcMar>
            <w:vAlign w:val="center"/>
          </w:tcPr>
          <w:p w:rsidR="00260A1C" w:rsidRPr="00284AF5" w:rsidRDefault="00260A1C" w:rsidP="00E163CF">
            <w:pPr>
              <w:widowControl w:val="0"/>
              <w:spacing w:after="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Susținerea grupurilor neformale și ONG-urilor locale prin finanțare și mentorat</w:t>
            </w:r>
          </w:p>
        </w:tc>
        <w:tc>
          <w:tcPr>
            <w:tcW w:w="6510"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260A1C" w:rsidRPr="00284AF5" w:rsidRDefault="00260A1C" w:rsidP="00E163CF">
            <w:pPr>
              <w:widowControl w:val="0"/>
              <w:numPr>
                <w:ilvl w:val="0"/>
                <w:numId w:val="12"/>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Numărul structurilor de/ pentru tineret funcționale (țintă 5)</w:t>
            </w:r>
          </w:p>
          <w:p w:rsidR="00260A1C" w:rsidRPr="00284AF5" w:rsidRDefault="00260A1C" w:rsidP="00E163CF">
            <w:pPr>
              <w:widowControl w:val="0"/>
              <w:numPr>
                <w:ilvl w:val="0"/>
                <w:numId w:val="12"/>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APL care are un CLT funcțional și buget alocat (țintă 100%)</w:t>
            </w:r>
          </w:p>
        </w:tc>
      </w:tr>
      <w:tr w:rsidR="00260A1C" w:rsidRPr="00C22C8D" w:rsidTr="00E163CF">
        <w:trPr>
          <w:trHeight w:val="600"/>
          <w:jc w:val="center"/>
        </w:trPr>
        <w:tc>
          <w:tcPr>
            <w:tcW w:w="10335" w:type="dxa"/>
            <w:gridSpan w:val="3"/>
            <w:tcBorders>
              <w:top w:val="single" w:sz="4" w:space="0" w:color="000000"/>
              <w:lef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b/>
                <w:bCs/>
                <w:sz w:val="24"/>
                <w:szCs w:val="24"/>
                <w:lang w:val="ro" w:eastAsia="ru-RU"/>
              </w:rPr>
            </w:pPr>
            <w:r w:rsidRPr="00284AF5">
              <w:rPr>
                <w:rFonts w:ascii="Times New Roman" w:eastAsia="Times New Roman" w:hAnsi="Times New Roman"/>
                <w:b/>
                <w:bCs/>
                <w:sz w:val="24"/>
                <w:szCs w:val="24"/>
                <w:lang w:val="ro" w:eastAsia="ru-RU"/>
              </w:rPr>
              <w:t>Prioritatea 3. Abilitarea economică a tinerilor:  sporirea bunăstării tinerilor și asigurarea unei dezvoltării economice durabile</w:t>
            </w:r>
          </w:p>
        </w:tc>
      </w:tr>
      <w:tr w:rsidR="00260A1C" w:rsidRPr="00284AF5" w:rsidTr="00E163CF">
        <w:trPr>
          <w:trHeight w:val="315"/>
          <w:jc w:val="center"/>
        </w:trPr>
        <w:tc>
          <w:tcPr>
            <w:tcW w:w="660" w:type="dxa"/>
            <w:tcBorders>
              <w:top w:val="single" w:sz="4" w:space="0" w:color="000000"/>
              <w:lef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sz w:val="24"/>
                <w:szCs w:val="24"/>
                <w:lang w:val="ro" w:eastAsia="ru-RU"/>
              </w:rPr>
            </w:pPr>
            <w:r w:rsidRPr="00284AF5">
              <w:rPr>
                <w:rFonts w:ascii="Times New Roman" w:eastAsia="Times New Roman" w:hAnsi="Times New Roman"/>
                <w:b/>
                <w:bCs/>
                <w:sz w:val="24"/>
                <w:szCs w:val="24"/>
                <w:lang w:val="ro" w:eastAsia="ru-RU"/>
              </w:rPr>
              <w:t>NR</w:t>
            </w:r>
          </w:p>
        </w:tc>
        <w:tc>
          <w:tcPr>
            <w:tcW w:w="3165" w:type="dxa"/>
            <w:tcBorders>
              <w:top w:val="single" w:sz="4" w:space="0" w:color="000000"/>
              <w:lef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sz w:val="24"/>
                <w:szCs w:val="24"/>
                <w:lang w:val="ro" w:eastAsia="ru-RU"/>
              </w:rPr>
            </w:pPr>
            <w:r w:rsidRPr="00284AF5">
              <w:rPr>
                <w:rFonts w:ascii="Times New Roman" w:eastAsia="Times New Roman" w:hAnsi="Times New Roman"/>
                <w:b/>
                <w:bCs/>
                <w:sz w:val="24"/>
                <w:szCs w:val="24"/>
                <w:lang w:val="ro" w:eastAsia="ru-RU"/>
              </w:rPr>
              <w:t>PROGRAM</w:t>
            </w:r>
          </w:p>
        </w:tc>
        <w:tc>
          <w:tcPr>
            <w:tcW w:w="6510" w:type="dxa"/>
            <w:tcBorders>
              <w:top w:val="single" w:sz="4" w:space="0" w:color="000000"/>
              <w:left w:val="single" w:sz="4" w:space="0" w:color="000000"/>
              <w:right w:val="single" w:sz="4" w:space="0" w:color="000000"/>
            </w:tcBorders>
            <w:shd w:val="clear" w:color="auto" w:fill="D2EEF9"/>
            <w:tcMar>
              <w:top w:w="0" w:type="dxa"/>
              <w:bottom w:w="0" w:type="dxa"/>
            </w:tcMar>
          </w:tcPr>
          <w:p w:rsidR="00260A1C" w:rsidRPr="00284AF5" w:rsidRDefault="00260A1C" w:rsidP="00E163CF">
            <w:pPr>
              <w:widowControl w:val="0"/>
              <w:spacing w:after="0" w:line="240" w:lineRule="auto"/>
              <w:jc w:val="center"/>
              <w:rPr>
                <w:rFonts w:ascii="Times New Roman" w:eastAsia="Times New Roman" w:hAnsi="Times New Roman"/>
                <w:sz w:val="24"/>
                <w:szCs w:val="24"/>
                <w:lang w:val="ro" w:eastAsia="ru-RU"/>
              </w:rPr>
            </w:pPr>
            <w:r w:rsidRPr="00284AF5">
              <w:rPr>
                <w:rFonts w:ascii="Times New Roman" w:eastAsia="Times New Roman" w:hAnsi="Times New Roman"/>
                <w:b/>
                <w:bCs/>
                <w:sz w:val="24"/>
                <w:szCs w:val="24"/>
                <w:lang w:val="ro" w:eastAsia="ru-RU"/>
              </w:rPr>
              <w:t>INDICATORII DE MONITORIZARE</w:t>
            </w:r>
          </w:p>
        </w:tc>
      </w:tr>
      <w:tr w:rsidR="00260A1C" w:rsidRPr="00C22C8D" w:rsidTr="00E163CF">
        <w:trPr>
          <w:trHeight w:val="600"/>
          <w:jc w:val="center"/>
        </w:trPr>
        <w:tc>
          <w:tcPr>
            <w:tcW w:w="660" w:type="dxa"/>
            <w:tcBorders>
              <w:top w:val="single" w:sz="4" w:space="0" w:color="000000"/>
              <w:left w:val="single" w:sz="4" w:space="0" w:color="000000"/>
              <w:bottom w:val="single" w:sz="4" w:space="0" w:color="000000"/>
            </w:tcBorders>
            <w:shd w:val="clear" w:color="auto" w:fill="auto"/>
            <w:tcMar>
              <w:top w:w="0" w:type="dxa"/>
              <w:bottom w:w="0" w:type="dxa"/>
            </w:tcMar>
          </w:tcPr>
          <w:p w:rsidR="00260A1C" w:rsidRPr="00284AF5" w:rsidRDefault="00260A1C" w:rsidP="00E163CF">
            <w:pPr>
              <w:widowControl w:val="0"/>
              <w:spacing w:after="0" w:line="240" w:lineRule="auto"/>
              <w:ind w:firstLine="240"/>
              <w:jc w:val="center"/>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1.</w:t>
            </w:r>
          </w:p>
        </w:tc>
        <w:tc>
          <w:tcPr>
            <w:tcW w:w="3165" w:type="dxa"/>
            <w:tcBorders>
              <w:top w:val="single" w:sz="4" w:space="0" w:color="000000"/>
              <w:left w:val="single" w:sz="4" w:space="0" w:color="000000"/>
              <w:bottom w:val="single" w:sz="4" w:space="0" w:color="000000"/>
            </w:tcBorders>
            <w:shd w:val="clear" w:color="auto" w:fill="auto"/>
            <w:tcMar>
              <w:top w:w="0" w:type="dxa"/>
              <w:bottom w:w="0" w:type="dxa"/>
            </w:tcMar>
            <w:vAlign w:val="center"/>
          </w:tcPr>
          <w:p w:rsidR="00260A1C" w:rsidRPr="00284AF5" w:rsidRDefault="00260A1C" w:rsidP="00E163CF">
            <w:pPr>
              <w:widowControl w:val="0"/>
              <w:spacing w:after="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Organizarea de sesiuni de informare și ghidare în carieră pentru tinerii 14–35 ani</w:t>
            </w:r>
          </w:p>
        </w:tc>
        <w:tc>
          <w:tcPr>
            <w:tcW w:w="6510"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260A1C" w:rsidRPr="00284AF5" w:rsidRDefault="00260A1C" w:rsidP="00E163CF">
            <w:pPr>
              <w:widowControl w:val="0"/>
              <w:numPr>
                <w:ilvl w:val="0"/>
                <w:numId w:val="16"/>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tinerilor care cunosc despre serviciile de ghidare în carieră (țintă 70%)</w:t>
            </w:r>
          </w:p>
          <w:p w:rsidR="00260A1C" w:rsidRPr="00284AF5" w:rsidRDefault="00260A1C" w:rsidP="00E163CF">
            <w:pPr>
              <w:widowControl w:val="0"/>
              <w:numPr>
                <w:ilvl w:val="0"/>
                <w:numId w:val="16"/>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tinerilor (14–20 ani) care au beneficiat de servicii de ghidare în carieră (țintă 50%)</w:t>
            </w:r>
          </w:p>
        </w:tc>
      </w:tr>
      <w:tr w:rsidR="00260A1C" w:rsidRPr="00C22C8D" w:rsidTr="00E163CF">
        <w:trPr>
          <w:trHeight w:val="600"/>
          <w:jc w:val="center"/>
        </w:trPr>
        <w:tc>
          <w:tcPr>
            <w:tcW w:w="660" w:type="dxa"/>
            <w:tcBorders>
              <w:top w:val="single" w:sz="4" w:space="0" w:color="000000"/>
              <w:left w:val="single" w:sz="4" w:space="0" w:color="000000"/>
              <w:bottom w:val="single" w:sz="4" w:space="0" w:color="000000"/>
            </w:tcBorders>
            <w:shd w:val="clear" w:color="auto" w:fill="auto"/>
            <w:tcMar>
              <w:top w:w="0" w:type="dxa"/>
              <w:bottom w:w="0" w:type="dxa"/>
            </w:tcMar>
          </w:tcPr>
          <w:p w:rsidR="00260A1C" w:rsidRPr="00284AF5" w:rsidRDefault="00260A1C" w:rsidP="00E163CF">
            <w:pPr>
              <w:widowControl w:val="0"/>
              <w:spacing w:after="0" w:line="240" w:lineRule="auto"/>
              <w:ind w:firstLine="240"/>
              <w:jc w:val="center"/>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2.</w:t>
            </w:r>
          </w:p>
        </w:tc>
        <w:tc>
          <w:tcPr>
            <w:tcW w:w="3165" w:type="dxa"/>
            <w:tcBorders>
              <w:top w:val="single" w:sz="4" w:space="0" w:color="000000"/>
              <w:left w:val="single" w:sz="4" w:space="0" w:color="000000"/>
              <w:bottom w:val="single" w:sz="4" w:space="0" w:color="000000"/>
            </w:tcBorders>
            <w:shd w:val="clear" w:color="auto" w:fill="auto"/>
            <w:tcMar>
              <w:top w:w="0" w:type="dxa"/>
              <w:bottom w:w="0" w:type="dxa"/>
            </w:tcMar>
            <w:vAlign w:val="center"/>
          </w:tcPr>
          <w:p w:rsidR="00260A1C" w:rsidRPr="00284AF5" w:rsidRDefault="00260A1C" w:rsidP="00E163CF">
            <w:pPr>
              <w:widowControl w:val="0"/>
              <w:spacing w:after="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Implementarea programelor locale de dezvoltare a abilităților antreprenoriale și digitale (inclusiv IT)</w:t>
            </w:r>
          </w:p>
        </w:tc>
        <w:tc>
          <w:tcPr>
            <w:tcW w:w="6510"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260A1C" w:rsidRPr="00284AF5" w:rsidRDefault="00260A1C" w:rsidP="00E163CF">
            <w:pPr>
              <w:widowControl w:val="0"/>
              <w:numPr>
                <w:ilvl w:val="0"/>
                <w:numId w:val="8"/>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Numărul tinerilor încadrați în programe de dezvoltare a abilităților antreprenoriale (țintă 100/an)</w:t>
            </w:r>
          </w:p>
          <w:p w:rsidR="00260A1C" w:rsidRPr="00284AF5" w:rsidRDefault="00260A1C" w:rsidP="00E163CF">
            <w:pPr>
              <w:widowControl w:val="0"/>
              <w:numPr>
                <w:ilvl w:val="0"/>
                <w:numId w:val="8"/>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Ponderea tinerilor care cunosc despre programele de finanțare și suport în afaceri (țintă 60%)</w:t>
            </w:r>
          </w:p>
        </w:tc>
      </w:tr>
      <w:tr w:rsidR="00260A1C" w:rsidRPr="00C22C8D" w:rsidTr="00E163CF">
        <w:trPr>
          <w:trHeight w:val="600"/>
          <w:jc w:val="center"/>
        </w:trPr>
        <w:tc>
          <w:tcPr>
            <w:tcW w:w="660" w:type="dxa"/>
            <w:tcBorders>
              <w:top w:val="single" w:sz="4" w:space="0" w:color="000000"/>
              <w:left w:val="single" w:sz="4" w:space="0" w:color="000000"/>
              <w:bottom w:val="single" w:sz="4" w:space="0" w:color="000000"/>
            </w:tcBorders>
            <w:shd w:val="clear" w:color="auto" w:fill="auto"/>
            <w:tcMar>
              <w:top w:w="0" w:type="dxa"/>
              <w:bottom w:w="0" w:type="dxa"/>
            </w:tcMar>
          </w:tcPr>
          <w:p w:rsidR="00260A1C" w:rsidRPr="00284AF5" w:rsidRDefault="00260A1C" w:rsidP="00E163CF">
            <w:pPr>
              <w:widowControl w:val="0"/>
              <w:spacing w:after="0" w:line="240" w:lineRule="auto"/>
              <w:ind w:firstLine="240"/>
              <w:jc w:val="center"/>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3.</w:t>
            </w:r>
          </w:p>
        </w:tc>
        <w:tc>
          <w:tcPr>
            <w:tcW w:w="3165" w:type="dxa"/>
            <w:tcBorders>
              <w:top w:val="single" w:sz="4" w:space="0" w:color="000000"/>
              <w:left w:val="single" w:sz="4" w:space="0" w:color="000000"/>
              <w:bottom w:val="single" w:sz="4" w:space="0" w:color="000000"/>
            </w:tcBorders>
            <w:shd w:val="clear" w:color="auto" w:fill="auto"/>
            <w:tcMar>
              <w:top w:w="0" w:type="dxa"/>
              <w:bottom w:w="0" w:type="dxa"/>
            </w:tcMar>
            <w:vAlign w:val="center"/>
          </w:tcPr>
          <w:p w:rsidR="00260A1C" w:rsidRPr="00284AF5" w:rsidRDefault="00260A1C" w:rsidP="00E163CF">
            <w:pPr>
              <w:widowControl w:val="0"/>
              <w:spacing w:after="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Facilitarea accesului tinerilor la programe naționale și internaționale de finanțare și mentorat pentru inițierea afacerilor</w:t>
            </w:r>
          </w:p>
        </w:tc>
        <w:tc>
          <w:tcPr>
            <w:tcW w:w="6510"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260A1C" w:rsidRPr="00284AF5" w:rsidRDefault="00260A1C" w:rsidP="00E163CF">
            <w:pPr>
              <w:widowControl w:val="0"/>
              <w:numPr>
                <w:ilvl w:val="0"/>
                <w:numId w:val="10"/>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Numărul programelor pe termen lung în domeniul antreprenoriatului și educației antreprenoriale (țintă 3/an)</w:t>
            </w:r>
          </w:p>
          <w:p w:rsidR="00260A1C" w:rsidRPr="00284AF5" w:rsidRDefault="00260A1C" w:rsidP="00E163CF">
            <w:pPr>
              <w:widowControl w:val="0"/>
              <w:numPr>
                <w:ilvl w:val="0"/>
                <w:numId w:val="10"/>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Buget alocat pentru susținerea antreprenorilor tineri (țintă 200.000 lei/an)</w:t>
            </w:r>
          </w:p>
        </w:tc>
      </w:tr>
      <w:tr w:rsidR="00260A1C" w:rsidRPr="00C22C8D" w:rsidTr="00E163CF">
        <w:trPr>
          <w:trHeight w:val="600"/>
          <w:jc w:val="center"/>
        </w:trPr>
        <w:tc>
          <w:tcPr>
            <w:tcW w:w="660" w:type="dxa"/>
            <w:tcBorders>
              <w:top w:val="single" w:sz="4" w:space="0" w:color="000000"/>
              <w:left w:val="single" w:sz="4" w:space="0" w:color="000000"/>
              <w:bottom w:val="single" w:sz="4" w:space="0" w:color="000000"/>
            </w:tcBorders>
            <w:shd w:val="clear" w:color="auto" w:fill="auto"/>
            <w:tcMar>
              <w:top w:w="0" w:type="dxa"/>
              <w:bottom w:w="0" w:type="dxa"/>
            </w:tcMar>
          </w:tcPr>
          <w:p w:rsidR="00260A1C" w:rsidRPr="00284AF5" w:rsidRDefault="00260A1C" w:rsidP="00E163CF">
            <w:pPr>
              <w:widowControl w:val="0"/>
              <w:spacing w:after="0" w:line="240" w:lineRule="auto"/>
              <w:ind w:firstLine="240"/>
              <w:jc w:val="center"/>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4.</w:t>
            </w:r>
          </w:p>
        </w:tc>
        <w:tc>
          <w:tcPr>
            <w:tcW w:w="3165" w:type="dxa"/>
            <w:tcBorders>
              <w:top w:val="single" w:sz="4" w:space="0" w:color="000000"/>
              <w:left w:val="single" w:sz="4" w:space="0" w:color="000000"/>
              <w:bottom w:val="single" w:sz="4" w:space="0" w:color="000000"/>
            </w:tcBorders>
            <w:shd w:val="clear" w:color="auto" w:fill="auto"/>
            <w:tcMar>
              <w:top w:w="0" w:type="dxa"/>
              <w:bottom w:w="0" w:type="dxa"/>
            </w:tcMar>
            <w:vAlign w:val="center"/>
          </w:tcPr>
          <w:p w:rsidR="00260A1C" w:rsidRPr="00284AF5" w:rsidRDefault="00260A1C" w:rsidP="00E163CF">
            <w:pPr>
              <w:widowControl w:val="0"/>
              <w:spacing w:after="0" w:line="240" w:lineRule="auto"/>
              <w:ind w:left="141"/>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Monitorizarea și raportarea anuală a rezultatelor programelor de antreprenoriat pentru tineri</w:t>
            </w:r>
          </w:p>
        </w:tc>
        <w:tc>
          <w:tcPr>
            <w:tcW w:w="6510"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260A1C" w:rsidRPr="00284AF5" w:rsidRDefault="00260A1C" w:rsidP="00E163CF">
            <w:pPr>
              <w:widowControl w:val="0"/>
              <w:numPr>
                <w:ilvl w:val="0"/>
                <w:numId w:val="20"/>
              </w:numPr>
              <w:tabs>
                <w:tab w:val="left" w:pos="336"/>
              </w:tabs>
              <w:spacing w:after="0" w:line="240" w:lineRule="auto"/>
              <w:rPr>
                <w:rFonts w:ascii="Times New Roman" w:eastAsia="Times New Roman" w:hAnsi="Times New Roman"/>
                <w:sz w:val="24"/>
                <w:szCs w:val="24"/>
                <w:lang w:val="ro" w:eastAsia="ru-RU"/>
              </w:rPr>
            </w:pPr>
            <w:r w:rsidRPr="00284AF5">
              <w:rPr>
                <w:rFonts w:ascii="Times New Roman" w:eastAsia="Times New Roman" w:hAnsi="Times New Roman"/>
                <w:sz w:val="24"/>
                <w:szCs w:val="24"/>
                <w:lang w:val="ro" w:eastAsia="ru-RU"/>
              </w:rPr>
              <w:t>Numărul tinerilor care și-au lansat o afacere după participarea la programe (țintă 20/an)</w:t>
            </w:r>
          </w:p>
        </w:tc>
      </w:tr>
    </w:tbl>
    <w:p w:rsidR="00260A1C" w:rsidRPr="00284AF5" w:rsidRDefault="00260A1C" w:rsidP="00260A1C">
      <w:pPr>
        <w:spacing w:after="120" w:line="276" w:lineRule="auto"/>
        <w:jc w:val="both"/>
        <w:rPr>
          <w:rFonts w:ascii="Times New Roman" w:eastAsia="Times New Roman" w:hAnsi="Times New Roman"/>
          <w:b/>
          <w:bCs/>
          <w:sz w:val="24"/>
          <w:szCs w:val="24"/>
          <w:lang w:val="ro" w:eastAsia="ru-RU"/>
        </w:rPr>
        <w:sectPr w:rsidR="00260A1C" w:rsidRPr="00284AF5" w:rsidSect="00710E95">
          <w:headerReference w:type="default" r:id="rId19"/>
          <w:pgSz w:w="11909" w:h="16834"/>
          <w:pgMar w:top="454" w:right="851" w:bottom="454" w:left="1418" w:header="720" w:footer="720" w:gutter="0"/>
          <w:pgNumType w:start="1"/>
          <w:cols w:space="720"/>
        </w:sectPr>
      </w:pPr>
    </w:p>
    <w:p w:rsidR="00260A1C" w:rsidRDefault="00260A1C" w:rsidP="00260A1C">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lastRenderedPageBreak/>
        <w:t xml:space="preserve">Anexa nr.4 </w:t>
      </w:r>
    </w:p>
    <w:p w:rsidR="00A82769" w:rsidRDefault="00A82769" w:rsidP="00A82769">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t xml:space="preserve">la Decizia nr. </w:t>
      </w:r>
      <w:r>
        <w:rPr>
          <w:rFonts w:ascii="Times New Roman" w:eastAsia="Times New Roman" w:hAnsi="Times New Roman"/>
          <w:b/>
          <w:u w:val="single"/>
          <w:lang w:val="ro-MD" w:eastAsia="ru-RU"/>
        </w:rPr>
        <w:t>2/15</w:t>
      </w:r>
      <w:r>
        <w:rPr>
          <w:rFonts w:ascii="Times New Roman" w:eastAsia="Times New Roman" w:hAnsi="Times New Roman"/>
          <w:b/>
          <w:lang w:val="ro-MD" w:eastAsia="ru-RU"/>
        </w:rPr>
        <w:t xml:space="preserve"> </w:t>
      </w:r>
    </w:p>
    <w:p w:rsidR="00A82769" w:rsidRDefault="00A82769" w:rsidP="00A82769">
      <w:pPr>
        <w:tabs>
          <w:tab w:val="left" w:pos="1110"/>
        </w:tabs>
        <w:spacing w:after="0" w:line="240" w:lineRule="auto"/>
        <w:contextualSpacing/>
        <w:jc w:val="right"/>
        <w:rPr>
          <w:rFonts w:ascii="Times New Roman" w:eastAsia="Times New Roman" w:hAnsi="Times New Roman"/>
          <w:b/>
          <w:lang w:val="ro-MD" w:eastAsia="ru-RU"/>
        </w:rPr>
      </w:pPr>
      <w:r>
        <w:rPr>
          <w:rFonts w:ascii="Times New Roman" w:eastAsia="Times New Roman" w:hAnsi="Times New Roman"/>
          <w:b/>
          <w:lang w:val="ro-MD" w:eastAsia="ru-RU"/>
        </w:rPr>
        <w:t>din ,,_</w:t>
      </w:r>
      <w:r>
        <w:rPr>
          <w:rFonts w:ascii="Times New Roman" w:eastAsia="Times New Roman" w:hAnsi="Times New Roman"/>
          <w:b/>
          <w:u w:val="single"/>
          <w:lang w:val="ro-MD" w:eastAsia="ru-RU"/>
        </w:rPr>
        <w:t>30</w:t>
      </w:r>
      <w:r>
        <w:rPr>
          <w:rFonts w:ascii="Times New Roman" w:eastAsia="Times New Roman" w:hAnsi="Times New Roman"/>
          <w:b/>
          <w:lang w:val="ro-MD" w:eastAsia="ru-RU"/>
        </w:rPr>
        <w:t>_,,_</w:t>
      </w:r>
      <w:r>
        <w:rPr>
          <w:rFonts w:ascii="Times New Roman" w:eastAsia="Times New Roman" w:hAnsi="Times New Roman"/>
          <w:b/>
          <w:u w:val="single"/>
          <w:lang w:val="ro-MD" w:eastAsia="ru-RU"/>
        </w:rPr>
        <w:t>martie</w:t>
      </w:r>
      <w:r>
        <w:rPr>
          <w:rFonts w:ascii="Times New Roman" w:eastAsia="Times New Roman" w:hAnsi="Times New Roman"/>
          <w:b/>
          <w:lang w:val="ro-MD" w:eastAsia="ru-RU"/>
        </w:rPr>
        <w:t>_2026</w:t>
      </w:r>
    </w:p>
    <w:p w:rsidR="00260A1C" w:rsidRDefault="00260A1C" w:rsidP="00260A1C">
      <w:pPr>
        <w:tabs>
          <w:tab w:val="left" w:pos="1110"/>
        </w:tabs>
        <w:spacing w:after="0" w:line="240" w:lineRule="auto"/>
        <w:contextualSpacing/>
        <w:jc w:val="right"/>
        <w:rPr>
          <w:rFonts w:ascii="Times New Roman" w:eastAsia="Times New Roman" w:hAnsi="Times New Roman"/>
          <w:b/>
          <w:lang w:val="ro-MD" w:eastAsia="ru-RU"/>
        </w:rPr>
      </w:pPr>
    </w:p>
    <w:p w:rsidR="00260A1C" w:rsidRDefault="00260A1C" w:rsidP="00260A1C">
      <w:pPr>
        <w:tabs>
          <w:tab w:val="left" w:pos="1110"/>
        </w:tabs>
        <w:spacing w:after="0" w:line="240" w:lineRule="auto"/>
        <w:contextualSpacing/>
        <w:rPr>
          <w:rFonts w:ascii="Times New Roman" w:eastAsia="Times New Roman" w:hAnsi="Times New Roman"/>
          <w:b/>
          <w:lang w:val="ro-MD" w:eastAsia="ru-RU"/>
        </w:rPr>
      </w:pPr>
    </w:p>
    <w:p w:rsidR="00260A1C" w:rsidRDefault="00260A1C" w:rsidP="00260A1C">
      <w:pPr>
        <w:tabs>
          <w:tab w:val="left" w:pos="1110"/>
        </w:tabs>
        <w:spacing w:after="0" w:line="240" w:lineRule="auto"/>
        <w:contextualSpacing/>
        <w:rPr>
          <w:rFonts w:ascii="Times New Roman" w:eastAsia="Times New Roman" w:hAnsi="Times New Roman"/>
          <w:b/>
          <w:lang w:val="ro-MD" w:eastAsia="ru-RU"/>
        </w:rPr>
      </w:pPr>
    </w:p>
    <w:p w:rsidR="00260A1C" w:rsidRPr="00D918AB" w:rsidRDefault="00260A1C" w:rsidP="00260A1C">
      <w:pPr>
        <w:spacing w:after="120" w:line="276" w:lineRule="auto"/>
        <w:jc w:val="both"/>
        <w:rPr>
          <w:rFonts w:ascii="Times New Roman" w:eastAsia="Times New Roman" w:hAnsi="Times New Roman"/>
          <w:b/>
          <w:bCs/>
          <w:sz w:val="24"/>
          <w:szCs w:val="24"/>
          <w:lang w:val="ro" w:eastAsia="ru-RU"/>
        </w:rPr>
      </w:pPr>
      <w:r w:rsidRPr="00D918AB">
        <w:rPr>
          <w:rFonts w:ascii="Times New Roman" w:eastAsia="Times New Roman" w:hAnsi="Times New Roman"/>
          <w:b/>
          <w:bCs/>
          <w:sz w:val="24"/>
          <w:szCs w:val="24"/>
          <w:lang w:val="ro" w:eastAsia="ru-RU"/>
        </w:rPr>
        <w:t>Capitolul VI.  PLANUL DE ACȚIUNI A STRATEGIEI DE DEZVOLTARE</w:t>
      </w:r>
    </w:p>
    <w:p w:rsidR="00B21215" w:rsidRDefault="00260A1C" w:rsidP="00260A1C">
      <w:pPr>
        <w:spacing w:after="120" w:line="276" w:lineRule="auto"/>
        <w:jc w:val="both"/>
        <w:rPr>
          <w:rFonts w:ascii="Times New Roman" w:eastAsia="Times New Roman" w:hAnsi="Times New Roman"/>
          <w:b/>
          <w:bCs/>
          <w:sz w:val="24"/>
          <w:szCs w:val="24"/>
          <w:lang w:val="ro" w:eastAsia="ru-RU"/>
        </w:rPr>
      </w:pPr>
      <w:r w:rsidRPr="00B21215">
        <w:rPr>
          <w:rFonts w:ascii="Times New Roman" w:eastAsia="Times New Roman" w:hAnsi="Times New Roman"/>
          <w:b/>
          <w:bCs/>
          <w:i/>
          <w:sz w:val="24"/>
          <w:szCs w:val="24"/>
          <w:lang w:val="ro" w:eastAsia="ru-RU"/>
        </w:rPr>
        <w:t>Obiectiv Strategic 7. Dezvoltarea și consolidarea sectorului de tineret</w:t>
      </w:r>
    </w:p>
    <w:p w:rsidR="00260A1C" w:rsidRPr="00D918AB" w:rsidRDefault="00260A1C" w:rsidP="00260A1C">
      <w:pPr>
        <w:spacing w:after="120" w:line="276" w:lineRule="auto"/>
        <w:jc w:val="both"/>
        <w:rPr>
          <w:rFonts w:ascii="Times New Roman" w:eastAsia="Times New Roman" w:hAnsi="Times New Roman"/>
          <w:b/>
          <w:bCs/>
          <w:sz w:val="24"/>
          <w:szCs w:val="24"/>
          <w:lang w:val="ro" w:eastAsia="ru-RU"/>
        </w:rPr>
      </w:pPr>
      <w:r w:rsidRPr="00D918AB">
        <w:rPr>
          <w:rFonts w:ascii="Times New Roman" w:eastAsia="Times New Roman" w:hAnsi="Times New Roman"/>
          <w:b/>
          <w:bCs/>
          <w:sz w:val="24"/>
          <w:szCs w:val="24"/>
          <w:lang w:val="ro" w:eastAsia="ru-RU"/>
        </w:rPr>
        <w:t>contribuind astfel la crearea unui mediu adecvat pentru a asigura evoluția fiecărui tânăr în plan personal și profesional, inclusiv a celor din grupurile cu oportunități reduse.</w:t>
      </w:r>
    </w:p>
    <w:p w:rsidR="00260A1C" w:rsidRPr="00D918AB" w:rsidRDefault="00260A1C" w:rsidP="00260A1C">
      <w:pPr>
        <w:spacing w:after="120" w:line="276" w:lineRule="auto"/>
        <w:jc w:val="both"/>
        <w:rPr>
          <w:rFonts w:ascii="Times New Roman" w:eastAsia="Times New Roman" w:hAnsi="Times New Roman"/>
          <w:b/>
          <w:bCs/>
          <w:sz w:val="24"/>
          <w:szCs w:val="24"/>
          <w:lang w:val="ro" w:eastAsia="ru-RU"/>
        </w:rPr>
      </w:pPr>
    </w:p>
    <w:tbl>
      <w:tblPr>
        <w:tblW w:w="16410" w:type="dxa"/>
        <w:tblInd w:w="-1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2130"/>
        <w:gridCol w:w="3525"/>
        <w:gridCol w:w="1470"/>
        <w:gridCol w:w="1575"/>
        <w:gridCol w:w="1845"/>
        <w:gridCol w:w="1890"/>
        <w:gridCol w:w="3165"/>
      </w:tblGrid>
      <w:tr w:rsidR="00260A1C" w:rsidRPr="00C22C8D" w:rsidTr="00E163CF">
        <w:trPr>
          <w:trHeight w:val="220"/>
        </w:trPr>
        <w:tc>
          <w:tcPr>
            <w:tcW w:w="16410" w:type="dxa"/>
            <w:gridSpan w:val="8"/>
            <w:tcBorders>
              <w:top w:val="single" w:sz="4" w:space="0" w:color="000000"/>
              <w:left w:val="single" w:sz="4" w:space="0" w:color="000000"/>
            </w:tcBorders>
            <w:shd w:val="clear" w:color="auto" w:fill="D2EEF9"/>
            <w:tcMar>
              <w:top w:w="0" w:type="dxa"/>
              <w:bottom w:w="0" w:type="dxa"/>
            </w:tcMar>
          </w:tcPr>
          <w:p w:rsidR="00260A1C" w:rsidRPr="00D918AB" w:rsidRDefault="00260A1C" w:rsidP="00E163CF">
            <w:pPr>
              <w:widowControl w:val="0"/>
              <w:spacing w:after="0" w:line="240" w:lineRule="auto"/>
              <w:jc w:val="center"/>
              <w:rPr>
                <w:rFonts w:ascii="Times New Roman" w:eastAsia="Times New Roman" w:hAnsi="Times New Roman"/>
                <w:b/>
                <w:bCs/>
                <w:sz w:val="24"/>
                <w:szCs w:val="24"/>
                <w:lang w:val="ro" w:eastAsia="ru-RU"/>
              </w:rPr>
            </w:pPr>
            <w:r w:rsidRPr="00D918AB">
              <w:rPr>
                <w:rFonts w:ascii="Times New Roman" w:eastAsia="Times New Roman" w:hAnsi="Times New Roman"/>
                <w:b/>
                <w:bCs/>
                <w:sz w:val="24"/>
                <w:szCs w:val="24"/>
                <w:lang w:val="ro" w:eastAsia="ru-RU"/>
              </w:rPr>
              <w:t xml:space="preserve">Prioritatea 1. Politici publice adaptate necesităților tinerilor: creșterea nivelului de participare a tinerilor din orașul Căușeni în procesul decizional și în activități comunitare </w:t>
            </w:r>
          </w:p>
        </w:tc>
      </w:tr>
      <w:tr w:rsidR="00260A1C" w:rsidRPr="00D918AB" w:rsidTr="00E163CF">
        <w:tc>
          <w:tcPr>
            <w:tcW w:w="810" w:type="dxa"/>
            <w:tcBorders>
              <w:top w:val="single" w:sz="4" w:space="0" w:color="000000"/>
              <w:left w:val="single" w:sz="4" w:space="0" w:color="000000"/>
            </w:tcBorders>
            <w:shd w:val="clear" w:color="auto" w:fill="D2EEF9"/>
            <w:tcMar>
              <w:top w:w="0" w:type="dxa"/>
              <w:bottom w:w="0" w:type="dxa"/>
            </w:tcMar>
            <w:vAlign w:val="center"/>
          </w:tcPr>
          <w:p w:rsidR="00260A1C" w:rsidRPr="00D918AB" w:rsidRDefault="00260A1C" w:rsidP="00E163CF">
            <w:pPr>
              <w:widowControl w:val="0"/>
              <w:spacing w:after="0" w:line="240" w:lineRule="auto"/>
              <w:jc w:val="center"/>
              <w:rPr>
                <w:rFonts w:ascii="Times New Roman" w:eastAsia="Times New Roman" w:hAnsi="Times New Roman"/>
                <w:lang w:val="ro" w:eastAsia="ru-RU"/>
              </w:rPr>
            </w:pPr>
            <w:r w:rsidRPr="00D918AB">
              <w:rPr>
                <w:rFonts w:ascii="Times New Roman" w:eastAsia="Times New Roman" w:hAnsi="Times New Roman"/>
                <w:b/>
                <w:bCs/>
                <w:lang w:val="ro" w:eastAsia="ru-RU"/>
              </w:rPr>
              <w:t>NR</w:t>
            </w:r>
          </w:p>
        </w:tc>
        <w:tc>
          <w:tcPr>
            <w:tcW w:w="2130" w:type="dxa"/>
            <w:tcBorders>
              <w:top w:val="single" w:sz="4" w:space="0" w:color="000000"/>
              <w:left w:val="single" w:sz="4" w:space="0" w:color="000000"/>
            </w:tcBorders>
            <w:shd w:val="clear" w:color="auto" w:fill="D2EEF9"/>
            <w:tcMar>
              <w:top w:w="0" w:type="dxa"/>
              <w:bottom w:w="0" w:type="dxa"/>
            </w:tcMar>
            <w:vAlign w:val="center"/>
          </w:tcPr>
          <w:p w:rsidR="00260A1C" w:rsidRPr="00D918AB" w:rsidRDefault="00260A1C" w:rsidP="00E163CF">
            <w:pPr>
              <w:widowControl w:val="0"/>
              <w:spacing w:after="0" w:line="240" w:lineRule="auto"/>
              <w:rPr>
                <w:rFonts w:ascii="Times New Roman" w:eastAsia="Times New Roman" w:hAnsi="Times New Roman"/>
                <w:lang w:val="ro" w:eastAsia="ru-RU"/>
              </w:rPr>
            </w:pPr>
            <w:r w:rsidRPr="00D918AB">
              <w:rPr>
                <w:rFonts w:ascii="Times New Roman" w:eastAsia="Times New Roman" w:hAnsi="Times New Roman"/>
                <w:b/>
                <w:bCs/>
                <w:lang w:val="ro" w:eastAsia="ru-RU"/>
              </w:rPr>
              <w:t>Programe</w:t>
            </w:r>
          </w:p>
        </w:tc>
        <w:tc>
          <w:tcPr>
            <w:tcW w:w="3525" w:type="dxa"/>
            <w:tcBorders>
              <w:top w:val="single" w:sz="4" w:space="0" w:color="000000"/>
              <w:left w:val="single" w:sz="4" w:space="0" w:color="000000"/>
            </w:tcBorders>
            <w:shd w:val="clear" w:color="auto" w:fill="D2EEF9"/>
            <w:tcMar>
              <w:top w:w="0" w:type="dxa"/>
              <w:bottom w:w="0" w:type="dxa"/>
            </w:tcMar>
            <w:vAlign w:val="center"/>
          </w:tcPr>
          <w:p w:rsidR="00260A1C" w:rsidRPr="00D918AB" w:rsidRDefault="00260A1C" w:rsidP="00E163CF">
            <w:pPr>
              <w:widowControl w:val="0"/>
              <w:spacing w:after="0" w:line="240" w:lineRule="auto"/>
              <w:jc w:val="center"/>
              <w:rPr>
                <w:rFonts w:ascii="Times New Roman" w:eastAsia="Times New Roman" w:hAnsi="Times New Roman"/>
                <w:lang w:val="ro" w:eastAsia="ru-RU"/>
              </w:rPr>
            </w:pPr>
            <w:r w:rsidRPr="00D918AB">
              <w:rPr>
                <w:rFonts w:ascii="Times New Roman" w:eastAsia="Times New Roman" w:hAnsi="Times New Roman"/>
                <w:b/>
                <w:bCs/>
                <w:lang w:val="ro" w:eastAsia="ru-RU"/>
              </w:rPr>
              <w:t>Acțiuni/Proiecte</w:t>
            </w:r>
          </w:p>
        </w:tc>
        <w:tc>
          <w:tcPr>
            <w:tcW w:w="1470" w:type="dxa"/>
            <w:tcBorders>
              <w:top w:val="single" w:sz="4" w:space="0" w:color="000000"/>
              <w:left w:val="single" w:sz="4" w:space="0" w:color="000000"/>
            </w:tcBorders>
            <w:shd w:val="clear" w:color="auto" w:fill="D2EEF9"/>
            <w:tcMar>
              <w:top w:w="0" w:type="dxa"/>
              <w:bottom w:w="0" w:type="dxa"/>
            </w:tcMar>
            <w:vAlign w:val="center"/>
          </w:tcPr>
          <w:p w:rsidR="00260A1C" w:rsidRPr="00D918AB" w:rsidRDefault="00260A1C" w:rsidP="00E163CF">
            <w:pPr>
              <w:widowControl w:val="0"/>
              <w:spacing w:after="0" w:line="261" w:lineRule="auto"/>
              <w:jc w:val="center"/>
              <w:rPr>
                <w:rFonts w:ascii="Times New Roman" w:eastAsia="Times New Roman" w:hAnsi="Times New Roman"/>
                <w:lang w:val="ro" w:eastAsia="ru-RU"/>
              </w:rPr>
            </w:pPr>
            <w:r w:rsidRPr="00D918AB">
              <w:rPr>
                <w:rFonts w:ascii="Times New Roman" w:eastAsia="Times New Roman" w:hAnsi="Times New Roman"/>
                <w:b/>
                <w:bCs/>
                <w:lang w:val="ro" w:eastAsia="ru-RU"/>
              </w:rPr>
              <w:t>Perioada de îndeplinire</w:t>
            </w:r>
          </w:p>
        </w:tc>
        <w:tc>
          <w:tcPr>
            <w:tcW w:w="1575" w:type="dxa"/>
            <w:tcBorders>
              <w:top w:val="single" w:sz="4" w:space="0" w:color="000000"/>
              <w:left w:val="single" w:sz="4" w:space="0" w:color="000000"/>
            </w:tcBorders>
            <w:shd w:val="clear" w:color="auto" w:fill="D2EEF9"/>
            <w:tcMar>
              <w:top w:w="0" w:type="dxa"/>
              <w:bottom w:w="0" w:type="dxa"/>
            </w:tcMar>
            <w:vAlign w:val="center"/>
          </w:tcPr>
          <w:p w:rsidR="00260A1C" w:rsidRPr="00D918AB" w:rsidRDefault="00260A1C" w:rsidP="00E163CF">
            <w:pPr>
              <w:widowControl w:val="0"/>
              <w:spacing w:after="0" w:line="261" w:lineRule="auto"/>
              <w:jc w:val="center"/>
              <w:rPr>
                <w:rFonts w:ascii="Times New Roman" w:eastAsia="Times New Roman" w:hAnsi="Times New Roman"/>
                <w:lang w:val="ro" w:eastAsia="ru-RU"/>
              </w:rPr>
            </w:pPr>
            <w:r w:rsidRPr="00D918AB">
              <w:rPr>
                <w:rFonts w:ascii="Times New Roman" w:eastAsia="Times New Roman" w:hAnsi="Times New Roman"/>
                <w:b/>
                <w:bCs/>
                <w:lang w:val="ro" w:eastAsia="ru-RU"/>
              </w:rPr>
              <w:t>Cost total, Lei</w:t>
            </w:r>
          </w:p>
        </w:tc>
        <w:tc>
          <w:tcPr>
            <w:tcW w:w="1845" w:type="dxa"/>
            <w:tcBorders>
              <w:top w:val="single" w:sz="4" w:space="0" w:color="000000"/>
              <w:left w:val="single" w:sz="4" w:space="0" w:color="000000"/>
            </w:tcBorders>
            <w:shd w:val="clear" w:color="auto" w:fill="D2EEF9"/>
            <w:tcMar>
              <w:top w:w="0" w:type="dxa"/>
              <w:bottom w:w="0" w:type="dxa"/>
            </w:tcMar>
            <w:vAlign w:val="center"/>
          </w:tcPr>
          <w:p w:rsidR="00260A1C" w:rsidRPr="00D918AB" w:rsidRDefault="00260A1C" w:rsidP="00E163CF">
            <w:pPr>
              <w:widowControl w:val="0"/>
              <w:spacing w:after="0" w:line="261" w:lineRule="auto"/>
              <w:jc w:val="center"/>
              <w:rPr>
                <w:rFonts w:ascii="Times New Roman" w:eastAsia="Times New Roman" w:hAnsi="Times New Roman"/>
                <w:lang w:val="ro" w:eastAsia="ru-RU"/>
              </w:rPr>
            </w:pPr>
            <w:r w:rsidRPr="00D918AB">
              <w:rPr>
                <w:rFonts w:ascii="Times New Roman" w:eastAsia="Times New Roman" w:hAnsi="Times New Roman"/>
                <w:b/>
                <w:bCs/>
                <w:lang w:val="ro" w:eastAsia="ru-RU"/>
              </w:rPr>
              <w:t>Sursa de finanțare</w:t>
            </w:r>
          </w:p>
        </w:tc>
        <w:tc>
          <w:tcPr>
            <w:tcW w:w="1890" w:type="dxa"/>
            <w:tcBorders>
              <w:top w:val="single" w:sz="4" w:space="0" w:color="000000"/>
              <w:left w:val="single" w:sz="4" w:space="0" w:color="000000"/>
            </w:tcBorders>
            <w:shd w:val="clear" w:color="auto" w:fill="D2EEF9"/>
            <w:tcMar>
              <w:top w:w="0" w:type="dxa"/>
              <w:bottom w:w="0" w:type="dxa"/>
            </w:tcMar>
            <w:vAlign w:val="center"/>
          </w:tcPr>
          <w:p w:rsidR="00260A1C" w:rsidRPr="00D918AB" w:rsidRDefault="00260A1C" w:rsidP="00E163CF">
            <w:pPr>
              <w:widowControl w:val="0"/>
              <w:spacing w:after="0" w:line="240" w:lineRule="auto"/>
              <w:ind w:firstLine="200"/>
              <w:rPr>
                <w:rFonts w:ascii="Times New Roman" w:eastAsia="Times New Roman" w:hAnsi="Times New Roman"/>
                <w:lang w:val="ro" w:eastAsia="ru-RU"/>
              </w:rPr>
            </w:pPr>
            <w:r w:rsidRPr="00D918AB">
              <w:rPr>
                <w:rFonts w:ascii="Times New Roman" w:eastAsia="Times New Roman" w:hAnsi="Times New Roman"/>
                <w:b/>
                <w:bCs/>
                <w:lang w:val="ro" w:eastAsia="ru-RU"/>
              </w:rPr>
              <w:t>Responsabil</w:t>
            </w:r>
          </w:p>
        </w:tc>
        <w:tc>
          <w:tcPr>
            <w:tcW w:w="3165" w:type="dxa"/>
            <w:tcBorders>
              <w:top w:val="single" w:sz="4" w:space="0" w:color="000000"/>
              <w:left w:val="single" w:sz="4" w:space="0" w:color="000000"/>
              <w:right w:val="single" w:sz="4" w:space="0" w:color="000000"/>
            </w:tcBorders>
            <w:shd w:val="clear" w:color="auto" w:fill="D2EEF9"/>
            <w:tcMar>
              <w:top w:w="0" w:type="dxa"/>
              <w:bottom w:w="0" w:type="dxa"/>
            </w:tcMar>
          </w:tcPr>
          <w:p w:rsidR="00260A1C" w:rsidRPr="00D918AB" w:rsidRDefault="00260A1C" w:rsidP="00E163CF">
            <w:pPr>
              <w:widowControl w:val="0"/>
              <w:spacing w:after="0" w:line="261" w:lineRule="auto"/>
              <w:jc w:val="center"/>
              <w:rPr>
                <w:rFonts w:ascii="Times New Roman" w:eastAsia="Times New Roman" w:hAnsi="Times New Roman"/>
                <w:lang w:val="ro" w:eastAsia="ru-RU"/>
              </w:rPr>
            </w:pPr>
            <w:r w:rsidRPr="00D918AB">
              <w:rPr>
                <w:rFonts w:ascii="Times New Roman" w:eastAsia="Times New Roman" w:hAnsi="Times New Roman"/>
                <w:b/>
                <w:bCs/>
                <w:lang w:val="ro" w:eastAsia="ru-RU"/>
              </w:rPr>
              <w:t>Indicatori de monitorizare</w:t>
            </w:r>
          </w:p>
        </w:tc>
      </w:tr>
      <w:tr w:rsidR="00260A1C" w:rsidRPr="00C22C8D"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3"/>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tcBorders>
              <w:top w:val="single" w:sz="4" w:space="0" w:color="000000"/>
              <w:left w:val="single" w:sz="4" w:space="0" w:color="000000"/>
            </w:tcBorders>
            <w:shd w:val="clear" w:color="auto" w:fill="auto"/>
            <w:tcMar>
              <w:top w:w="0" w:type="dxa"/>
              <w:bottom w:w="0" w:type="dxa"/>
            </w:tcMar>
          </w:tcPr>
          <w:p w:rsidR="00260A1C" w:rsidRPr="00D918AB" w:rsidRDefault="00260A1C" w:rsidP="00E163CF">
            <w:pPr>
              <w:widowControl w:val="0"/>
              <w:spacing w:after="120" w:line="240" w:lineRule="auto"/>
              <w:ind w:left="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Organizarea anuală de consultări și focus-grupuri cu tinerii din mediul urban și rural</w:t>
            </w: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Realizarea unui calendar anual de consultări în toate localitățile raionului.</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Implicarea tinerilor din mediul rural și urban, inclusiv grupuri vulnerabile (tineri cu dizabilități, NEET etc.).</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Pregătirea și distribuirea materialelor informative despre procesul decizional local.</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Analiza feedback-ului tinerilor și integrarea recomandărilor în planurile locale.</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50 000</w:t>
            </w: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Bugetul local și programe națioanle (ANT, MEC, UNFPA, UNICEF) </w:t>
            </w:r>
          </w:p>
        </w:tc>
        <w:tc>
          <w:tcPr>
            <w:tcW w:w="1890" w:type="dxa"/>
            <w:shd w:val="clear" w:color="auto" w:fill="auto"/>
            <w:tcMar>
              <w:top w:w="100" w:type="dxa"/>
              <w:left w:w="100" w:type="dxa"/>
              <w:bottom w:w="100" w:type="dxa"/>
              <w:right w:w="100" w:type="dxa"/>
            </w:tcMar>
          </w:tcPr>
          <w:p w:rsidR="00260A1C" w:rsidRPr="00D918AB" w:rsidRDefault="00260A1C" w:rsidP="00E163CF">
            <w:pP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Direcția Cultură, Turism, Tineret și Sport </w:t>
            </w:r>
          </w:p>
          <w:p w:rsidR="00260A1C" w:rsidRPr="00D918AB" w:rsidRDefault="00260A1C" w:rsidP="00E163CF">
            <w:pPr>
              <w:widowControl w:val="0"/>
              <w:spacing w:after="0" w:line="240" w:lineRule="auto"/>
              <w:jc w:val="center"/>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Centrul de tineret</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tinerilor care participă anual la activități de educație non-formală (țintă 60%)</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APL care organizează cel puțin o consultare publică anuală cu tinerii (țintă 80%)</w:t>
            </w:r>
          </w:p>
        </w:tc>
      </w:tr>
      <w:tr w:rsidR="00260A1C" w:rsidRPr="00C22C8D"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3"/>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shd w:val="clear" w:color="auto" w:fill="auto"/>
            <w:tcMar>
              <w:top w:w="100" w:type="dxa"/>
              <w:left w:w="100" w:type="dxa"/>
              <w:bottom w:w="100" w:type="dxa"/>
              <w:right w:w="100" w:type="dxa"/>
            </w:tcMar>
          </w:tcPr>
          <w:p w:rsidR="00260A1C" w:rsidRPr="00D918AB" w:rsidRDefault="00260A1C" w:rsidP="00E163CF">
            <w:pPr>
              <w:widowControl w:val="0"/>
              <w:spacing w:after="120" w:line="240" w:lineRule="auto"/>
              <w:ind w:left="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Elaborarea și actualizarea documentelor de politici publice locale (planuri, bugete) cu implicarea tinerilor și integrarea recomandărilor lor</w:t>
            </w: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Organizarea atelierelor de lucru cu reprezentanți ai tinerilor pentru fiecare document strategic (bugete, planuri de dezvoltare).</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Crearea unui ghid simplificat de participare pentru tineri.</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Publicarea drafturilor și colectarea feedback-ului online și offline.</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Monitorizarea implementării recomandărilor incluse.</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50 000</w:t>
            </w: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Bugetul local și programe națioanle (ANT, MEC, UNFPA, CIR PRO BONO)</w:t>
            </w:r>
          </w:p>
        </w:tc>
        <w:tc>
          <w:tcPr>
            <w:tcW w:w="1890" w:type="dxa"/>
            <w:shd w:val="clear" w:color="auto" w:fill="auto"/>
            <w:tcMar>
              <w:top w:w="100" w:type="dxa"/>
              <w:left w:w="100" w:type="dxa"/>
              <w:bottom w:w="100" w:type="dxa"/>
              <w:right w:w="100" w:type="dxa"/>
            </w:tcMar>
          </w:tcPr>
          <w:p w:rsidR="00260A1C" w:rsidRPr="00D918AB" w:rsidRDefault="00260A1C" w:rsidP="00E163CF">
            <w:pP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Direcția Cultură, Turism, Tineret și Sport </w:t>
            </w:r>
          </w:p>
          <w:p w:rsidR="00260A1C" w:rsidRPr="00D918AB" w:rsidRDefault="00260A1C" w:rsidP="00E163CF">
            <w:pPr>
              <w:widowControl w:val="0"/>
              <w:spacing w:after="0" w:line="240" w:lineRule="auto"/>
              <w:jc w:val="center"/>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Direcția educație</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documentelor de politici publice consultate cu tinerii (țintă 70%)</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documentelor care includ indicatori dezagregați pe criteriul de vârstă și intervenții pentru tineri (țintă 70%)</w:t>
            </w:r>
          </w:p>
        </w:tc>
      </w:tr>
      <w:tr w:rsidR="00260A1C" w:rsidRPr="00C22C8D"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3"/>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Instruirea a minim 3 angajați APL pe an în domeniul implicării tinerilor și evaluării politicilor locale</w:t>
            </w:r>
          </w:p>
          <w:p w:rsidR="00260A1C" w:rsidRPr="00D918AB" w:rsidRDefault="00260A1C" w:rsidP="00E163CF">
            <w:pPr>
              <w:widowControl w:val="0"/>
              <w:pBdr>
                <w:top w:val="nil"/>
                <w:left w:val="nil"/>
                <w:bottom w:val="nil"/>
                <w:right w:val="nil"/>
                <w:between w:val="nil"/>
              </w:pBdr>
              <w:spacing w:after="0" w:line="240" w:lineRule="auto"/>
              <w:ind w:firstLine="141"/>
              <w:rPr>
                <w:rFonts w:ascii="Times New Roman" w:eastAsia="Times New Roman" w:hAnsi="Times New Roman"/>
                <w:sz w:val="24"/>
                <w:szCs w:val="24"/>
                <w:lang w:val="ro" w:eastAsia="ru-RU"/>
              </w:rPr>
            </w:pP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lastRenderedPageBreak/>
              <w:t>Organizarea de cursuri și workshop-uri în domeniul tineretului și educației civice.</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Dezvoltarea modulelor online pentru instruire continuă.</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Crearea unui registru al </w:t>
            </w:r>
            <w:r w:rsidRPr="00D918AB">
              <w:rPr>
                <w:rFonts w:ascii="Times New Roman" w:eastAsia="Times New Roman" w:hAnsi="Times New Roman"/>
                <w:sz w:val="24"/>
                <w:szCs w:val="24"/>
                <w:lang w:val="ro" w:eastAsia="ru-RU"/>
              </w:rPr>
              <w:lastRenderedPageBreak/>
              <w:t>angajaților instruiți și raportarea anuală a progresului.</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lastRenderedPageBreak/>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15 000</w:t>
            </w: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Bugetul local și programe națioanle (ANT, MEC, UNFPA, CIR PRO BONO)</w:t>
            </w:r>
          </w:p>
        </w:tc>
        <w:tc>
          <w:tcPr>
            <w:tcW w:w="1890" w:type="dxa"/>
            <w:shd w:val="clear" w:color="auto" w:fill="auto"/>
            <w:tcMar>
              <w:top w:w="100" w:type="dxa"/>
              <w:left w:w="100" w:type="dxa"/>
              <w:bottom w:w="100" w:type="dxa"/>
              <w:right w:w="100" w:type="dxa"/>
            </w:tcMar>
          </w:tcPr>
          <w:p w:rsidR="00260A1C" w:rsidRPr="00D918AB" w:rsidRDefault="00260A1C" w:rsidP="00E163CF">
            <w:pP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Direcția Cultură, Turism, Tineret și Sport </w:t>
            </w:r>
          </w:p>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Direcția educație</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APL de nivel I și II în care cel puțin 3 persoane au beneficiat de instruire în ultimii 3 ani (țintă 100%)</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Ponderea APL care alocă anual resurse pentru </w:t>
            </w:r>
            <w:r w:rsidRPr="00D918AB">
              <w:rPr>
                <w:rFonts w:ascii="Times New Roman" w:eastAsia="Times New Roman" w:hAnsi="Times New Roman"/>
                <w:sz w:val="24"/>
                <w:szCs w:val="24"/>
                <w:lang w:val="ro" w:eastAsia="ru-RU"/>
              </w:rPr>
              <w:lastRenderedPageBreak/>
              <w:t>activități de tineret (țintă 90%)</w:t>
            </w:r>
          </w:p>
        </w:tc>
      </w:tr>
      <w:tr w:rsidR="00260A1C" w:rsidRPr="00C22C8D" w:rsidTr="00E163CF">
        <w:trPr>
          <w:trHeight w:val="440"/>
        </w:trPr>
        <w:tc>
          <w:tcPr>
            <w:tcW w:w="16410" w:type="dxa"/>
            <w:gridSpan w:val="8"/>
            <w:tcBorders>
              <w:top w:val="single" w:sz="4" w:space="0" w:color="000000"/>
              <w:left w:val="single" w:sz="4" w:space="0" w:color="000000"/>
            </w:tcBorders>
            <w:shd w:val="clear" w:color="auto" w:fill="D2EEF9"/>
            <w:tcMar>
              <w:top w:w="0" w:type="dxa"/>
              <w:bottom w:w="0" w:type="dxa"/>
            </w:tcMar>
          </w:tcPr>
          <w:p w:rsidR="00260A1C" w:rsidRPr="00D918AB" w:rsidRDefault="00260A1C" w:rsidP="00E163CF">
            <w:pPr>
              <w:widowControl w:val="0"/>
              <w:spacing w:after="20" w:line="240" w:lineRule="auto"/>
              <w:jc w:val="center"/>
              <w:rPr>
                <w:rFonts w:ascii="Times New Roman" w:eastAsia="Times New Roman" w:hAnsi="Times New Roman"/>
                <w:b/>
                <w:bCs/>
                <w:sz w:val="24"/>
                <w:szCs w:val="24"/>
                <w:lang w:val="ro" w:eastAsia="ru-RU"/>
              </w:rPr>
            </w:pPr>
            <w:r w:rsidRPr="00D918AB">
              <w:rPr>
                <w:rFonts w:ascii="Times New Roman" w:eastAsia="Times New Roman" w:hAnsi="Times New Roman"/>
                <w:b/>
                <w:bCs/>
                <w:sz w:val="24"/>
                <w:szCs w:val="24"/>
                <w:lang w:val="ro" w:eastAsia="ru-RU"/>
              </w:rPr>
              <w:lastRenderedPageBreak/>
              <w:t>Prioritatea 2. Dezvoltarea serviciilor și structurilor de tineret: asigurarea accesului tinerilor la o gamă complexă de servicii de tineret calitative care contribuie la formarea cunoștințelor, abilităților, deprinderilor, atitudinilor și comportamentelor necesare pentru integrarea cât mai reușită a tinerilor în societate</w:t>
            </w:r>
          </w:p>
        </w:tc>
      </w:tr>
      <w:tr w:rsidR="00260A1C" w:rsidRPr="00C22C8D"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8"/>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ind w:left="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Consolidarea Centrului Raional de Tineret Sîngerei și dotarea lui</w:t>
            </w: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Amenajarea spațiilor Centrului cu mobilier, echipamente IT și materiale educaționale.</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Angajarea personalului necesar: coordonatori, psihologi, instructori.</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Lansarea oficială a Centrului și promovarea serviciilor în comunitate.</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200 000</w:t>
            </w: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Bugetul local și programe națioanle (ANT, MEC)</w:t>
            </w:r>
          </w:p>
        </w:tc>
        <w:tc>
          <w:tcPr>
            <w:tcW w:w="1890" w:type="dxa"/>
            <w:shd w:val="clear" w:color="auto" w:fill="auto"/>
            <w:tcMar>
              <w:top w:w="100" w:type="dxa"/>
              <w:left w:w="100" w:type="dxa"/>
              <w:bottom w:w="100" w:type="dxa"/>
              <w:right w:w="100" w:type="dxa"/>
            </w:tcMar>
          </w:tcPr>
          <w:p w:rsidR="00260A1C" w:rsidRPr="00D918AB" w:rsidRDefault="00260A1C" w:rsidP="00E163CF">
            <w:pP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Direcția Cultură, Turism, Tineret și Sport </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Centrele de tineret dispun de buget anual suficient pentru implementarea gamei de servicii conform necesităților tinerilor (țintă 100%)</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tinerilor care participă la cel puțin o activitate anual la centrul de tineret (țintă 50%)</w:t>
            </w:r>
          </w:p>
        </w:tc>
      </w:tr>
      <w:tr w:rsidR="00260A1C" w:rsidRPr="00C22C8D"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8"/>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ind w:left="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Organizarea anuală a minim 12 activități recreative, culturale, sportive și educative pentru tineri</w:t>
            </w: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Elaborarea unui calendar anual de evenimente și campanii tematice.</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Colaborarea cu școli, ONG-uri și grupuri neformale locale pentru co-implementare.</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Monitorizarea participării tinerilor și evaluarea satisfacției acestora după fiecare activitate.</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300 000</w:t>
            </w: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Bugetul local și programe națioanle (ANT, MEC, UNFPA)</w:t>
            </w:r>
          </w:p>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189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Centrul de tineret</w:t>
            </w:r>
          </w:p>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Consiliul Raional al Tinerilor</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Rata de satisfacție a tinerilor privind serviciile oferite (țintă 80%)</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tinerilor implicați în activități organizate de CLT sau grupuri neformale (țintă 30%)</w:t>
            </w:r>
          </w:p>
        </w:tc>
      </w:tr>
      <w:tr w:rsidR="00260A1C" w:rsidRPr="00C22C8D"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8"/>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ind w:left="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Formarea și instruirea lucrătorilor de tineret în implementarea eficientă a serviciilor (minim 20 zile de training/an)</w:t>
            </w: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Organizarea de traininguri specializate pentru lucrătorii de tineret, inclusiv în domeniul voluntariatului, leadershipului și antreprenoriatului.</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Dezvoltarea unui plan anual de perfecționare profesională.</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Evaluarea anuală a performanței și a feedback-ului tinerilor privind activitatea lucrătorilor.</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60 000</w:t>
            </w: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Bugetul local și programe națioanle (ANT, MEC, UNFPA)</w:t>
            </w:r>
          </w:p>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p>
        </w:tc>
        <w:tc>
          <w:tcPr>
            <w:tcW w:w="1890" w:type="dxa"/>
            <w:shd w:val="clear" w:color="auto" w:fill="auto"/>
            <w:tcMar>
              <w:top w:w="100" w:type="dxa"/>
              <w:left w:w="100" w:type="dxa"/>
              <w:bottom w:w="100" w:type="dxa"/>
              <w:right w:w="100" w:type="dxa"/>
            </w:tcMar>
          </w:tcPr>
          <w:p w:rsidR="00260A1C" w:rsidRPr="00D918AB" w:rsidRDefault="00260A1C" w:rsidP="00E163CF">
            <w:pP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Direcția Cultură, Turism, Tineret și Sport </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lucrătorilor de tineret care beneficiază anual de programe de capacitare (țintă 100%)</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Rata de satisfacție a tinerilor cu privire la activitatea lucrătorilor de tineret (țintă 80%)</w:t>
            </w:r>
          </w:p>
        </w:tc>
      </w:tr>
      <w:tr w:rsidR="00260A1C" w:rsidRPr="00C22C8D"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8"/>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ind w:left="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Susținerea grupurilor neformale și ONG-urilor locale prin finanțare și mentorat</w:t>
            </w: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Lansarea unui mecanism de granturi mici pentru proiecte de tineret.</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Organizarea de sesiuni de mentorat și consultanță pentru grupurile neformale și ONG-uri.</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Monitorizarea rezultatelor și publicarea unui raport anual </w:t>
            </w:r>
            <w:r w:rsidRPr="00D918AB">
              <w:rPr>
                <w:rFonts w:ascii="Times New Roman" w:eastAsia="Times New Roman" w:hAnsi="Times New Roman"/>
                <w:sz w:val="24"/>
                <w:szCs w:val="24"/>
                <w:lang w:val="ro" w:eastAsia="ru-RU"/>
              </w:rPr>
              <w:lastRenderedPageBreak/>
              <w:t>al activităților finanțate.</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lastRenderedPageBreak/>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450 000</w:t>
            </w: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Bugetul local și programe națioanle (ANT, MEC, UNFPA)</w:t>
            </w:r>
          </w:p>
        </w:tc>
        <w:tc>
          <w:tcPr>
            <w:tcW w:w="1890" w:type="dxa"/>
            <w:shd w:val="clear" w:color="auto" w:fill="auto"/>
            <w:tcMar>
              <w:top w:w="100" w:type="dxa"/>
              <w:left w:w="100" w:type="dxa"/>
              <w:bottom w:w="100" w:type="dxa"/>
              <w:right w:w="100" w:type="dxa"/>
            </w:tcMar>
          </w:tcPr>
          <w:p w:rsidR="00260A1C" w:rsidRPr="00D918AB" w:rsidRDefault="00260A1C" w:rsidP="00E163CF">
            <w:pP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Direcția Cultură, Turism, Tineret și Sport </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Numărul structurilor de/ pentru tineret funcționale (țintă 5)</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APL care are un CLT funcțional și buget alocat (țintă 100%)</w:t>
            </w:r>
          </w:p>
        </w:tc>
      </w:tr>
      <w:tr w:rsidR="00260A1C" w:rsidRPr="00C22C8D" w:rsidTr="00E163CF">
        <w:trPr>
          <w:trHeight w:val="440"/>
        </w:trPr>
        <w:tc>
          <w:tcPr>
            <w:tcW w:w="16410" w:type="dxa"/>
            <w:gridSpan w:val="8"/>
            <w:shd w:val="clear" w:color="auto" w:fill="D2EEF9"/>
            <w:tcMar>
              <w:top w:w="100" w:type="dxa"/>
              <w:left w:w="100" w:type="dxa"/>
              <w:bottom w:w="100" w:type="dxa"/>
              <w:right w:w="100" w:type="dxa"/>
            </w:tcMar>
          </w:tcPr>
          <w:p w:rsidR="00260A1C" w:rsidRPr="00D918AB" w:rsidRDefault="00260A1C" w:rsidP="00E163CF">
            <w:pPr>
              <w:widowControl w:val="0"/>
              <w:spacing w:after="20" w:line="240" w:lineRule="auto"/>
              <w:jc w:val="center"/>
              <w:rPr>
                <w:rFonts w:ascii="Times New Roman" w:eastAsia="Times New Roman" w:hAnsi="Times New Roman"/>
                <w:b/>
                <w:bCs/>
                <w:sz w:val="24"/>
                <w:szCs w:val="24"/>
                <w:lang w:val="ro" w:eastAsia="ru-RU"/>
              </w:rPr>
            </w:pPr>
            <w:r w:rsidRPr="00D918AB">
              <w:rPr>
                <w:rFonts w:ascii="Times New Roman" w:eastAsia="Times New Roman" w:hAnsi="Times New Roman"/>
                <w:b/>
                <w:bCs/>
                <w:sz w:val="24"/>
                <w:szCs w:val="24"/>
                <w:lang w:val="ro" w:eastAsia="ru-RU"/>
              </w:rPr>
              <w:t>Prioritatea 3. Abilitarea economică a tinerilor:  sporirea bunăstării tinerilor și asigurarea unei dezvoltării economice durabile</w:t>
            </w:r>
          </w:p>
        </w:tc>
      </w:tr>
      <w:tr w:rsidR="00260A1C" w:rsidRPr="00C22C8D"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5"/>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ind w:left="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Organizarea de sesiuni de informare și ghidare în carieră pentru tinerii 14–35 ani</w:t>
            </w: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Colaborarea cu Agenția pentru Ocuparea Forței de Muncă și agenții locali de recrutare.</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Organizarea de târguri de carieră și sesiuni de orientare profesională în școli și centre comunitare.</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Crearea unui portal online cu informații despre oportunități de muncă și stagii.</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60 000</w:t>
            </w: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Bugetul local și programe națioanle (ANT, MEC, UNFPA)</w:t>
            </w:r>
          </w:p>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p>
        </w:tc>
        <w:tc>
          <w:tcPr>
            <w:tcW w:w="1890"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Centrul de tineret</w:t>
            </w:r>
          </w:p>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Consiliul Raional al Tinerilor</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tinerilor care cunosc despre serviciile de ghidare în carieră (țintă 70%)</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tinerilor (14–20 ani) care au beneficiat de servicii de ghidare în carieră (țintă 50%)</w:t>
            </w:r>
          </w:p>
        </w:tc>
      </w:tr>
      <w:tr w:rsidR="00260A1C" w:rsidRPr="00C22C8D"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5"/>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ind w:left="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Implementarea programelor locale de dezvoltare a abilităților antreprenoriale și digitale (inclusiv IT)</w:t>
            </w:r>
          </w:p>
          <w:p w:rsidR="00260A1C" w:rsidRPr="00D918AB" w:rsidRDefault="00260A1C" w:rsidP="00E163CF">
            <w:pPr>
              <w:widowControl w:val="0"/>
              <w:pBdr>
                <w:top w:val="nil"/>
                <w:left w:val="nil"/>
                <w:bottom w:val="nil"/>
                <w:right w:val="nil"/>
                <w:between w:val="nil"/>
              </w:pBdr>
              <w:spacing w:after="0" w:line="240" w:lineRule="auto"/>
              <w:ind w:firstLine="141"/>
              <w:rPr>
                <w:rFonts w:ascii="Times New Roman" w:eastAsia="Times New Roman" w:hAnsi="Times New Roman"/>
                <w:sz w:val="24"/>
                <w:szCs w:val="24"/>
                <w:lang w:val="ro" w:eastAsia="ru-RU"/>
              </w:rPr>
            </w:pP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Organizarea de cursuri și workshop-uri pentru tineri în domeniul antreprenoriatului și IT.</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Identificarea mentori-lor locali și specialiști în afaceri pentru sesiuni practice.</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Dezvoltarea de proiecte pilot de afaceri locale conduse de tineri.</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60 000</w:t>
            </w: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Bugetul local și programe națioanle (ANT, MEC, UNFPA)</w:t>
            </w:r>
          </w:p>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p>
        </w:tc>
        <w:tc>
          <w:tcPr>
            <w:tcW w:w="1890"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Centrul de tineret</w:t>
            </w:r>
          </w:p>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Consiliul Raional al Tinerilor</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Numărul tinerilor încadrați în programe de dezvoltare a abilităților antreprenoriale (țintă 100/an)</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Ponderea tinerilor care cunosc despre programele de finanțare și suport în afaceri (țintă 60%)</w:t>
            </w:r>
          </w:p>
        </w:tc>
      </w:tr>
      <w:tr w:rsidR="00260A1C" w:rsidRPr="00C22C8D"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5"/>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tcBorders>
              <w:top w:val="single" w:sz="4" w:space="0" w:color="000000"/>
              <w:left w:val="single" w:sz="4" w:space="0" w:color="000000"/>
              <w:bottom w:val="single" w:sz="4" w:space="0" w:color="000000"/>
            </w:tcBorders>
            <w:shd w:val="clear" w:color="auto" w:fill="auto"/>
            <w:tcMar>
              <w:top w:w="0" w:type="dxa"/>
              <w:bottom w:w="0" w:type="dxa"/>
            </w:tcMar>
            <w:vAlign w:val="center"/>
          </w:tcPr>
          <w:p w:rsidR="00260A1C" w:rsidRPr="00D918AB" w:rsidRDefault="00260A1C" w:rsidP="00E163CF">
            <w:pPr>
              <w:widowControl w:val="0"/>
              <w:spacing w:after="0" w:line="240" w:lineRule="auto"/>
              <w:ind w:left="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Facilitarea accesului tinerilor la programe naționale și internaționale de finanțare și mentorat pentru inițierea afacerilor</w:t>
            </w: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Informarea tinerilor despre programele disponibile și termenele de aplicare.</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Organizarea de sesiuni de consiliere și elaborare de planuri de afaceri.</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Asigurarea accesului la fonduri și mentorat continuu pe durata proiectului.</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150 000</w:t>
            </w: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Bugetul local și programe națioanle (ANT, MEC, UNFPA)</w:t>
            </w:r>
          </w:p>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p>
        </w:tc>
        <w:tc>
          <w:tcPr>
            <w:tcW w:w="1890" w:type="dxa"/>
            <w:shd w:val="clear" w:color="auto" w:fill="auto"/>
            <w:tcMar>
              <w:top w:w="100" w:type="dxa"/>
              <w:left w:w="100" w:type="dxa"/>
              <w:bottom w:w="100" w:type="dxa"/>
              <w:right w:w="100" w:type="dxa"/>
            </w:tcMar>
          </w:tcPr>
          <w:p w:rsidR="00260A1C" w:rsidRPr="00D918AB" w:rsidRDefault="00260A1C" w:rsidP="00E163CF">
            <w:pPr>
              <w:widowControl w:val="0"/>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Centrul Raional de Tineret</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Numărul programelor pe termen lung în domeniul antreprenoriatului și educației antreprenoriale (țintă 3/an)</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Buget alocat pentru susținerea antreprenorilor tineri (țintă 200.000 lei/an)</w:t>
            </w:r>
          </w:p>
        </w:tc>
      </w:tr>
      <w:tr w:rsidR="00260A1C" w:rsidRPr="00C22C8D" w:rsidTr="00E163CF">
        <w:tc>
          <w:tcPr>
            <w:tcW w:w="810"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5"/>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2130" w:type="dxa"/>
            <w:tcBorders>
              <w:top w:val="single" w:sz="4" w:space="0" w:color="000000"/>
              <w:left w:val="single" w:sz="4" w:space="0" w:color="000000"/>
              <w:bottom w:val="single" w:sz="4" w:space="0" w:color="000000"/>
            </w:tcBorders>
            <w:shd w:val="clear" w:color="auto" w:fill="auto"/>
            <w:tcMar>
              <w:top w:w="0" w:type="dxa"/>
              <w:bottom w:w="0" w:type="dxa"/>
            </w:tcMar>
            <w:vAlign w:val="center"/>
          </w:tcPr>
          <w:p w:rsidR="00260A1C" w:rsidRPr="00D918AB" w:rsidRDefault="00260A1C" w:rsidP="00E163CF">
            <w:pPr>
              <w:widowControl w:val="0"/>
              <w:spacing w:after="0" w:line="240" w:lineRule="auto"/>
              <w:ind w:left="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Monitorizarea și raportarea anuală a rezultatelor programelor de antreprenoriat pentru tineri</w:t>
            </w:r>
          </w:p>
        </w:tc>
        <w:tc>
          <w:tcPr>
            <w:tcW w:w="352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Colectarea datelor despre tinerii care au participat la programe și progresul lor.</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Publicarea unui raport anual privind impactul programelor.</w:t>
            </w:r>
          </w:p>
          <w:p w:rsidR="00260A1C" w:rsidRPr="00D918AB" w:rsidRDefault="00260A1C" w:rsidP="00E163CF">
            <w:pPr>
              <w:widowControl w:val="0"/>
              <w:numPr>
                <w:ilvl w:val="0"/>
                <w:numId w:val="22"/>
              </w:numPr>
              <w:pBdr>
                <w:top w:val="nil"/>
                <w:left w:val="nil"/>
                <w:bottom w:val="nil"/>
                <w:right w:val="nil"/>
                <w:between w:val="nil"/>
              </w:pBd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Evaluarea eficienței fondurilor alocate și ajustarea programelor pentru anul următor.</w:t>
            </w:r>
          </w:p>
        </w:tc>
        <w:tc>
          <w:tcPr>
            <w:tcW w:w="1470" w:type="dxa"/>
            <w:shd w:val="clear" w:color="auto" w:fill="auto"/>
            <w:tcMar>
              <w:top w:w="100" w:type="dxa"/>
              <w:left w:w="100" w:type="dxa"/>
              <w:bottom w:w="100" w:type="dxa"/>
              <w:right w:w="100" w:type="dxa"/>
            </w:tcMar>
          </w:tcPr>
          <w:p w:rsidR="00260A1C" w:rsidRPr="00D918AB" w:rsidRDefault="00260A1C" w:rsidP="00E163CF">
            <w:pPr>
              <w:widowControl w:val="0"/>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2026-2028 </w:t>
            </w:r>
          </w:p>
        </w:tc>
        <w:tc>
          <w:tcPr>
            <w:tcW w:w="157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7"/>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1845" w:type="dxa"/>
            <w:shd w:val="clear" w:color="auto" w:fill="auto"/>
            <w:tcMar>
              <w:top w:w="100" w:type="dxa"/>
              <w:left w:w="100" w:type="dxa"/>
              <w:bottom w:w="100" w:type="dxa"/>
              <w:right w:w="100" w:type="dxa"/>
            </w:tcMar>
          </w:tcPr>
          <w:p w:rsidR="00260A1C" w:rsidRPr="00D918AB" w:rsidRDefault="00260A1C" w:rsidP="00E163CF">
            <w:pPr>
              <w:widowControl w:val="0"/>
              <w:numPr>
                <w:ilvl w:val="0"/>
                <w:numId w:val="26"/>
              </w:numPr>
              <w:pBdr>
                <w:top w:val="nil"/>
                <w:left w:val="nil"/>
                <w:bottom w:val="nil"/>
                <w:right w:val="nil"/>
                <w:between w:val="nil"/>
              </w:pBdr>
              <w:spacing w:after="0" w:line="240" w:lineRule="auto"/>
              <w:rPr>
                <w:rFonts w:ascii="Times New Roman" w:eastAsia="Times New Roman" w:hAnsi="Times New Roman"/>
                <w:sz w:val="24"/>
                <w:szCs w:val="24"/>
                <w:lang w:val="ro" w:eastAsia="ru-RU"/>
              </w:rPr>
            </w:pPr>
          </w:p>
        </w:tc>
        <w:tc>
          <w:tcPr>
            <w:tcW w:w="1890" w:type="dxa"/>
            <w:shd w:val="clear" w:color="auto" w:fill="auto"/>
            <w:tcMar>
              <w:top w:w="100" w:type="dxa"/>
              <w:left w:w="100" w:type="dxa"/>
              <w:bottom w:w="100" w:type="dxa"/>
              <w:right w:w="100" w:type="dxa"/>
            </w:tcMar>
          </w:tcPr>
          <w:p w:rsidR="00260A1C" w:rsidRPr="00D918AB" w:rsidRDefault="00260A1C" w:rsidP="00E163CF">
            <w:pPr>
              <w:spacing w:after="0" w:line="240" w:lineRule="auto"/>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 xml:space="preserve">Direcția Cultură, Turism, Tineret și Sport </w:t>
            </w:r>
          </w:p>
        </w:tc>
        <w:tc>
          <w:tcPr>
            <w:tcW w:w="3165" w:type="dxa"/>
            <w:shd w:val="clear" w:color="auto" w:fill="auto"/>
            <w:tcMar>
              <w:top w:w="100" w:type="dxa"/>
              <w:left w:w="100" w:type="dxa"/>
              <w:bottom w:w="100" w:type="dxa"/>
              <w:right w:w="100" w:type="dxa"/>
            </w:tcMar>
          </w:tcPr>
          <w:p w:rsidR="00260A1C" w:rsidRPr="00D918AB" w:rsidRDefault="00260A1C" w:rsidP="00E163CF">
            <w:pPr>
              <w:numPr>
                <w:ilvl w:val="0"/>
                <w:numId w:val="24"/>
              </w:numPr>
              <w:pBdr>
                <w:top w:val="nil"/>
                <w:left w:val="nil"/>
                <w:bottom w:val="nil"/>
                <w:right w:val="nil"/>
                <w:between w:val="nil"/>
              </w:pBdr>
              <w:tabs>
                <w:tab w:val="left" w:pos="230"/>
              </w:tabs>
              <w:spacing w:after="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Numărul programelor pe termen lung în domeniul antreprenoriatului și educației antreprenoriale (țintă 3/an)</w:t>
            </w:r>
          </w:p>
          <w:p w:rsidR="00260A1C" w:rsidRPr="00D918AB" w:rsidRDefault="00260A1C" w:rsidP="00E163CF">
            <w:pPr>
              <w:numPr>
                <w:ilvl w:val="0"/>
                <w:numId w:val="24"/>
              </w:numPr>
              <w:pBdr>
                <w:top w:val="nil"/>
                <w:left w:val="nil"/>
                <w:bottom w:val="nil"/>
                <w:right w:val="nil"/>
                <w:between w:val="nil"/>
              </w:pBdr>
              <w:tabs>
                <w:tab w:val="left" w:pos="230"/>
              </w:tabs>
              <w:spacing w:after="20" w:line="240" w:lineRule="auto"/>
              <w:ind w:left="141" w:hanging="141"/>
              <w:rPr>
                <w:rFonts w:ascii="Times New Roman" w:eastAsia="Times New Roman" w:hAnsi="Times New Roman"/>
                <w:sz w:val="24"/>
                <w:szCs w:val="24"/>
                <w:lang w:val="ro" w:eastAsia="ru-RU"/>
              </w:rPr>
            </w:pPr>
            <w:r w:rsidRPr="00D918AB">
              <w:rPr>
                <w:rFonts w:ascii="Times New Roman" w:eastAsia="Times New Roman" w:hAnsi="Times New Roman"/>
                <w:sz w:val="24"/>
                <w:szCs w:val="24"/>
                <w:lang w:val="ro" w:eastAsia="ru-RU"/>
              </w:rPr>
              <w:t>Buget alocat pentru susținerea antreprenorilor tineri (țintă 200.000 lei/an)</w:t>
            </w:r>
          </w:p>
        </w:tc>
      </w:tr>
    </w:tbl>
    <w:p w:rsidR="00E163CF" w:rsidRPr="00260A1C" w:rsidRDefault="00E163CF">
      <w:pPr>
        <w:rPr>
          <w:lang w:val="ro"/>
        </w:rPr>
      </w:pPr>
    </w:p>
    <w:sectPr w:rsidR="00E163CF" w:rsidRPr="00260A1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5A2" w:rsidRDefault="000E55A2">
      <w:pPr>
        <w:spacing w:after="0" w:line="240" w:lineRule="auto"/>
      </w:pPr>
      <w:r>
        <w:separator/>
      </w:r>
    </w:p>
  </w:endnote>
  <w:endnote w:type="continuationSeparator" w:id="0">
    <w:p w:rsidR="000E55A2" w:rsidRDefault="000E5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5A2" w:rsidRDefault="000E55A2">
      <w:pPr>
        <w:spacing w:after="0" w:line="240" w:lineRule="auto"/>
      </w:pPr>
      <w:r>
        <w:separator/>
      </w:r>
    </w:p>
  </w:footnote>
  <w:footnote w:type="continuationSeparator" w:id="0">
    <w:p w:rsidR="000E55A2" w:rsidRDefault="000E5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3CF" w:rsidRDefault="00E163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3083"/>
    <w:multiLevelType w:val="multilevel"/>
    <w:tmpl w:val="7EFE5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4E3E5D"/>
    <w:multiLevelType w:val="multilevel"/>
    <w:tmpl w:val="56E85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951CAE"/>
    <w:multiLevelType w:val="multilevel"/>
    <w:tmpl w:val="F41EB7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C74C74"/>
    <w:multiLevelType w:val="multilevel"/>
    <w:tmpl w:val="677A4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2317FE"/>
    <w:multiLevelType w:val="multilevel"/>
    <w:tmpl w:val="3D3C6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1075DE"/>
    <w:multiLevelType w:val="multilevel"/>
    <w:tmpl w:val="26A01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DB74B9"/>
    <w:multiLevelType w:val="multilevel"/>
    <w:tmpl w:val="746A9EB2"/>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A76CF9"/>
    <w:multiLevelType w:val="multilevel"/>
    <w:tmpl w:val="B358C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663512"/>
    <w:multiLevelType w:val="multilevel"/>
    <w:tmpl w:val="5EAAF8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7A364C7"/>
    <w:multiLevelType w:val="multilevel"/>
    <w:tmpl w:val="CF4E8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F102A9"/>
    <w:multiLevelType w:val="multilevel"/>
    <w:tmpl w:val="8E2C91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D5E29C6"/>
    <w:multiLevelType w:val="multilevel"/>
    <w:tmpl w:val="B5AADD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2A63638"/>
    <w:multiLevelType w:val="multilevel"/>
    <w:tmpl w:val="66DEA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1D0F9B"/>
    <w:multiLevelType w:val="multilevel"/>
    <w:tmpl w:val="DCFC2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32937D0"/>
    <w:multiLevelType w:val="multilevel"/>
    <w:tmpl w:val="DAD49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844216E"/>
    <w:multiLevelType w:val="multilevel"/>
    <w:tmpl w:val="61D00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9B8525D"/>
    <w:multiLevelType w:val="multilevel"/>
    <w:tmpl w:val="04FC8F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0AA4651"/>
    <w:multiLevelType w:val="multilevel"/>
    <w:tmpl w:val="97C62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583635"/>
    <w:multiLevelType w:val="multilevel"/>
    <w:tmpl w:val="B13CC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0860AE"/>
    <w:multiLevelType w:val="multilevel"/>
    <w:tmpl w:val="72B89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A2177CC"/>
    <w:multiLevelType w:val="multilevel"/>
    <w:tmpl w:val="5832D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BF20EAA"/>
    <w:multiLevelType w:val="multilevel"/>
    <w:tmpl w:val="980A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4D25B0"/>
    <w:multiLevelType w:val="multilevel"/>
    <w:tmpl w:val="15F8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4431EC"/>
    <w:multiLevelType w:val="multilevel"/>
    <w:tmpl w:val="D8280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F643C30"/>
    <w:multiLevelType w:val="multilevel"/>
    <w:tmpl w:val="74381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65B0AE9"/>
    <w:multiLevelType w:val="multilevel"/>
    <w:tmpl w:val="83B42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B0A29C8"/>
    <w:multiLevelType w:val="multilevel"/>
    <w:tmpl w:val="2250B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242238B"/>
    <w:multiLevelType w:val="multilevel"/>
    <w:tmpl w:val="977E6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3D048C3"/>
    <w:multiLevelType w:val="multilevel"/>
    <w:tmpl w:val="50986A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D212266"/>
    <w:multiLevelType w:val="multilevel"/>
    <w:tmpl w:val="9F04D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5"/>
  </w:num>
  <w:num w:numId="3">
    <w:abstractNumId w:val="29"/>
  </w:num>
  <w:num w:numId="4">
    <w:abstractNumId w:val="7"/>
  </w:num>
  <w:num w:numId="5">
    <w:abstractNumId w:val="23"/>
  </w:num>
  <w:num w:numId="6">
    <w:abstractNumId w:val="14"/>
  </w:num>
  <w:num w:numId="7">
    <w:abstractNumId w:val="1"/>
  </w:num>
  <w:num w:numId="8">
    <w:abstractNumId w:val="18"/>
  </w:num>
  <w:num w:numId="9">
    <w:abstractNumId w:val="20"/>
  </w:num>
  <w:num w:numId="10">
    <w:abstractNumId w:val="24"/>
  </w:num>
  <w:num w:numId="11">
    <w:abstractNumId w:val="10"/>
  </w:num>
  <w:num w:numId="12">
    <w:abstractNumId w:val="27"/>
  </w:num>
  <w:num w:numId="13">
    <w:abstractNumId w:val="17"/>
  </w:num>
  <w:num w:numId="14">
    <w:abstractNumId w:val="4"/>
  </w:num>
  <w:num w:numId="15">
    <w:abstractNumId w:val="13"/>
  </w:num>
  <w:num w:numId="16">
    <w:abstractNumId w:val="25"/>
  </w:num>
  <w:num w:numId="17">
    <w:abstractNumId w:val="2"/>
  </w:num>
  <w:num w:numId="18">
    <w:abstractNumId w:val="28"/>
  </w:num>
  <w:num w:numId="19">
    <w:abstractNumId w:val="11"/>
  </w:num>
  <w:num w:numId="20">
    <w:abstractNumId w:val="0"/>
  </w:num>
  <w:num w:numId="21">
    <w:abstractNumId w:val="3"/>
  </w:num>
  <w:num w:numId="22">
    <w:abstractNumId w:val="6"/>
  </w:num>
  <w:num w:numId="23">
    <w:abstractNumId w:val="8"/>
  </w:num>
  <w:num w:numId="24">
    <w:abstractNumId w:val="26"/>
  </w:num>
  <w:num w:numId="25">
    <w:abstractNumId w:val="19"/>
  </w:num>
  <w:num w:numId="26">
    <w:abstractNumId w:val="9"/>
  </w:num>
  <w:num w:numId="27">
    <w:abstractNumId w:val="12"/>
  </w:num>
  <w:num w:numId="28">
    <w:abstractNumId w:val="16"/>
  </w:num>
  <w:num w:numId="29">
    <w:abstractNumId w:val="22"/>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679"/>
    <w:rsid w:val="000E55A2"/>
    <w:rsid w:val="00260A1C"/>
    <w:rsid w:val="002D055B"/>
    <w:rsid w:val="00710E95"/>
    <w:rsid w:val="007B4166"/>
    <w:rsid w:val="0088501A"/>
    <w:rsid w:val="008D79C6"/>
    <w:rsid w:val="00941C9D"/>
    <w:rsid w:val="0096321E"/>
    <w:rsid w:val="00964679"/>
    <w:rsid w:val="00A82769"/>
    <w:rsid w:val="00B21215"/>
    <w:rsid w:val="00C22C8D"/>
    <w:rsid w:val="00CD7BCA"/>
    <w:rsid w:val="00E163CF"/>
    <w:rsid w:val="00FC1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42A1A-957A-4D34-80B9-E02DEFF8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A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0A1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260A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ecoul.md"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oul.md/primele-rezultate-finale-ale-recensamantului-din-2024-populatia-in-scadere-cu-136-fata-de-2014/?utm_source"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statistica.gov.md/ro/recensamantul-populatiei-si-al-locuintelor-2024-9940.html?utm_sourc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statistica.gov.md/ro/tinerii-neet-in-trimestrul-i-2024-9430_61321.html?utm_sour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4515</Words>
  <Characters>25737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Mihai Fecăuțeanu</cp:lastModifiedBy>
  <cp:revision>2</cp:revision>
  <dcterms:created xsi:type="dcterms:W3CDTF">2026-03-31T13:12:00Z</dcterms:created>
  <dcterms:modified xsi:type="dcterms:W3CDTF">2026-03-31T13:12:00Z</dcterms:modified>
</cp:coreProperties>
</file>