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66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6660"/>
        <w:gridCol w:w="1620"/>
      </w:tblGrid>
      <w:tr w:rsidR="00D530B0" w:rsidRPr="00D530B0" w14:paraId="28678471" w14:textId="77777777" w:rsidTr="00DD280A">
        <w:trPr>
          <w:trHeight w:val="1414"/>
        </w:trPr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3DE4F" w14:textId="77777777" w:rsidR="00D530B0" w:rsidRPr="00D530B0" w:rsidRDefault="00D530B0" w:rsidP="00D5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0" wp14:anchorId="53D9D0E7" wp14:editId="6630128B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52705</wp:posOffset>
                  </wp:positionV>
                  <wp:extent cx="569595" cy="689610"/>
                  <wp:effectExtent l="19050" t="0" r="190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044BE6" w14:textId="77777777" w:rsidR="00D530B0" w:rsidRPr="00D530B0" w:rsidRDefault="00D530B0" w:rsidP="00D53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0902C" w14:textId="77777777" w:rsidR="00D530B0" w:rsidRPr="00D530B0" w:rsidRDefault="00D530B0" w:rsidP="00D530B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REPUBLICA  MOLDOVA</w:t>
            </w:r>
          </w:p>
          <w:p w14:paraId="6207A4C0" w14:textId="77777777" w:rsidR="00D530B0" w:rsidRPr="00D530B0" w:rsidRDefault="00D530B0" w:rsidP="00D530B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CONSILIUL  RAIONAL</w:t>
            </w:r>
          </w:p>
          <w:p w14:paraId="5A483F80" w14:textId="77777777" w:rsidR="00D530B0" w:rsidRPr="00D530B0" w:rsidRDefault="00D530B0" w:rsidP="00D5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</w:t>
            </w: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14:paraId="20B904F7" w14:textId="77777777" w:rsidR="00D530B0" w:rsidRPr="00D530B0" w:rsidRDefault="00D530B0" w:rsidP="00D5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PREŞEDINTELE RAIONULUI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04E0C" w14:textId="77777777" w:rsidR="00D530B0" w:rsidRPr="00D530B0" w:rsidRDefault="00D530B0" w:rsidP="00D5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D445C86" wp14:editId="229E6E74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BF05CB" w14:textId="77777777" w:rsidR="00D530B0" w:rsidRPr="00D530B0" w:rsidRDefault="00D530B0" w:rsidP="00D5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drawing>
                <wp:inline distT="0" distB="0" distL="0" distR="0" wp14:anchorId="33000F97" wp14:editId="2462D738">
                  <wp:extent cx="496570" cy="6261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62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DF1B8" w14:textId="77777777" w:rsidR="00D530B0" w:rsidRPr="00D530B0" w:rsidRDefault="00D530B0" w:rsidP="00D53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3F09CB" w14:textId="77777777" w:rsidR="00D530B0" w:rsidRPr="00D530B0" w:rsidRDefault="00D530B0" w:rsidP="00D53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30B0" w:rsidRPr="00D530B0" w14:paraId="01CD2F9E" w14:textId="77777777" w:rsidTr="00DD280A">
        <w:trPr>
          <w:trHeight w:val="151"/>
        </w:trPr>
        <w:tc>
          <w:tcPr>
            <w:tcW w:w="10215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14:paraId="2650B8C5" w14:textId="4DAE0DF3" w:rsidR="00D530B0" w:rsidRPr="00D530B0" w:rsidRDefault="00DD09DA" w:rsidP="00D53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Direcția Educație </w:t>
            </w:r>
          </w:p>
        </w:tc>
      </w:tr>
    </w:tbl>
    <w:p w14:paraId="37A86FE7" w14:textId="77777777" w:rsidR="00D530B0" w:rsidRPr="00D530B0" w:rsidRDefault="00D530B0" w:rsidP="00D530B0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D530B0">
        <w:rPr>
          <w:rFonts w:ascii="Times New Roman" w:eastAsia="Times New Roman" w:hAnsi="Times New Roman" w:cs="Times New Roman"/>
          <w:b/>
          <w:lang w:eastAsia="ru-RU"/>
        </w:rPr>
        <w:t>Nr.________________</w:t>
      </w:r>
    </w:p>
    <w:p w14:paraId="381BD6B4" w14:textId="77777777" w:rsidR="00D530B0" w:rsidRPr="00D530B0" w:rsidRDefault="00D530B0" w:rsidP="00D530B0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D530B0">
        <w:rPr>
          <w:rFonts w:ascii="Times New Roman" w:eastAsia="Times New Roman" w:hAnsi="Times New Roman" w:cs="Times New Roman"/>
          <w:b/>
          <w:lang w:eastAsia="ru-RU"/>
        </w:rPr>
        <w:t>din ______________ 2026</w:t>
      </w:r>
    </w:p>
    <w:tbl>
      <w:tblPr>
        <w:tblStyle w:val="a3"/>
        <w:tblpPr w:leftFromText="180" w:rightFromText="180" w:vertAnchor="page" w:horzAnchor="margin" w:tblpXSpec="center" w:tblpY="3481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718"/>
      </w:tblGrid>
      <w:tr w:rsidR="00D530B0" w:rsidRPr="00D530B0" w14:paraId="67EB30CC" w14:textId="77777777" w:rsidTr="00DD280A">
        <w:trPr>
          <w:trHeight w:val="998"/>
        </w:trPr>
        <w:tc>
          <w:tcPr>
            <w:tcW w:w="4718" w:type="dxa"/>
          </w:tcPr>
          <w:p w14:paraId="1F08902F" w14:textId="77777777" w:rsidR="00D530B0" w:rsidRPr="00D530B0" w:rsidRDefault="00D530B0" w:rsidP="00D530B0">
            <w:pPr>
              <w:spacing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>SECRETARĂ INTERIMARĂ A</w:t>
            </w:r>
          </w:p>
          <w:p w14:paraId="269017EB" w14:textId="77777777" w:rsidR="00D530B0" w:rsidRPr="00D530B0" w:rsidRDefault="00D530B0" w:rsidP="00D530B0">
            <w:pPr>
              <w:spacing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Consiliului raional     </w:t>
            </w:r>
          </w:p>
          <w:p w14:paraId="00F258BC" w14:textId="77777777" w:rsidR="00D530B0" w:rsidRPr="00D530B0" w:rsidRDefault="00D530B0" w:rsidP="00D530B0">
            <w:pPr>
              <w:spacing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Angela MIHALIUC                                                                                                     </w:t>
            </w: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4718" w:type="dxa"/>
          </w:tcPr>
          <w:p w14:paraId="6C42C6E9" w14:textId="77777777" w:rsidR="00D530B0" w:rsidRPr="00D530B0" w:rsidRDefault="00D530B0" w:rsidP="00D530B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>De acord şi dispun elaborarea</w:t>
            </w:r>
          </w:p>
          <w:p w14:paraId="58D5D5B3" w14:textId="77777777" w:rsidR="00D530B0" w:rsidRPr="00D530B0" w:rsidRDefault="00D530B0" w:rsidP="00D530B0">
            <w:pPr>
              <w:jc w:val="right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>proiectului de decizie</w:t>
            </w:r>
            <w:r w:rsidRPr="00D530B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</w:t>
            </w:r>
          </w:p>
          <w:p w14:paraId="1E741F8D" w14:textId="77777777" w:rsidR="00D530B0" w:rsidRPr="00D530B0" w:rsidRDefault="00D530B0" w:rsidP="00D530B0">
            <w:pPr>
              <w:jc w:val="right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PREŞEDINTE,</w:t>
            </w: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                                                                                                     </w:t>
            </w:r>
            <w:r w:rsidRPr="00D530B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Cristian CAINARIAN                  </w:t>
            </w:r>
          </w:p>
        </w:tc>
      </w:tr>
    </w:tbl>
    <w:p w14:paraId="44BBF460" w14:textId="77777777" w:rsidR="00D530B0" w:rsidRPr="00D530B0" w:rsidRDefault="00D530B0" w:rsidP="00D530B0">
      <w:pPr>
        <w:spacing w:after="0" w:line="240" w:lineRule="auto"/>
        <w:rPr>
          <w:rFonts w:ascii="Times New Roman" w:eastAsia="Times New Roman" w:hAnsi="Times New Roman" w:cs="Times New Roman"/>
          <w:lang w:val="ro-RO" w:eastAsia="ru-RU"/>
        </w:rPr>
      </w:pPr>
    </w:p>
    <w:p w14:paraId="799AE0C9" w14:textId="77777777" w:rsidR="00D530B0" w:rsidRPr="00D530B0" w:rsidRDefault="00D530B0" w:rsidP="00D530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530B0">
        <w:rPr>
          <w:rFonts w:ascii="Times New Roman" w:eastAsia="Times New Roman" w:hAnsi="Times New Roman" w:cs="Times New Roman"/>
          <w:b/>
          <w:lang w:eastAsia="ru-RU"/>
        </w:rPr>
        <w:t>NOTĂ DE FUNDAMENTARE</w:t>
      </w:r>
    </w:p>
    <w:p w14:paraId="53BC2C3D" w14:textId="3674129A" w:rsidR="002C735D" w:rsidRDefault="002C735D" w:rsidP="002C735D">
      <w:pPr>
        <w:pStyle w:val="a7"/>
        <w:spacing w:after="0" w:line="276" w:lineRule="auto"/>
        <w:jc w:val="center"/>
        <w:rPr>
          <w:rFonts w:eastAsia="Times New Roman"/>
          <w:b/>
          <w:bCs/>
          <w:noProof w:val="0"/>
          <w:lang w:val="en-US" w:eastAsia="ru-RU"/>
        </w:rPr>
      </w:pPr>
      <w:r w:rsidRPr="00361E65">
        <w:rPr>
          <w:rFonts w:eastAsia="Times New Roman"/>
          <w:b/>
          <w:bCs/>
          <w:noProof w:val="0"/>
          <w:lang w:val="en-US" w:eastAsia="ru-RU"/>
        </w:rPr>
        <w:t xml:space="preserve">Cu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privire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la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reorganizarea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prin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transformare</w:t>
      </w:r>
      <w:proofErr w:type="spellEnd"/>
    </w:p>
    <w:p w14:paraId="74FA03E3" w14:textId="20015F7F" w:rsidR="002C735D" w:rsidRPr="00361E65" w:rsidRDefault="002C735D" w:rsidP="002C735D">
      <w:pPr>
        <w:pStyle w:val="a7"/>
        <w:spacing w:after="0" w:line="276" w:lineRule="auto"/>
        <w:jc w:val="center"/>
        <w:rPr>
          <w:rFonts w:eastAsia="Times New Roman"/>
          <w:noProof w:val="0"/>
          <w:lang w:val="en-US" w:eastAsia="ru-RU"/>
        </w:rPr>
      </w:pPr>
      <w:proofErr w:type="gramStart"/>
      <w:r w:rsidRPr="00361E65">
        <w:rPr>
          <w:rFonts w:eastAsia="Times New Roman"/>
          <w:b/>
          <w:bCs/>
          <w:noProof w:val="0"/>
          <w:lang w:val="en-US" w:eastAsia="ru-RU"/>
        </w:rPr>
        <w:t>a</w:t>
      </w:r>
      <w:proofErr w:type="gram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Gimnaziul</w:t>
      </w:r>
      <w:r w:rsidR="00BF2721">
        <w:rPr>
          <w:rFonts w:eastAsia="Times New Roman"/>
          <w:b/>
          <w:bCs/>
          <w:noProof w:val="0"/>
          <w:lang w:val="en-US" w:eastAsia="ru-RU"/>
        </w:rPr>
        <w:t>ui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r w:rsidR="002C3B53">
        <w:rPr>
          <w:rFonts w:eastAsia="Times New Roman"/>
          <w:b/>
          <w:bCs/>
          <w:noProof w:val="0"/>
          <w:lang w:val="en-US" w:eastAsia="ru-RU"/>
        </w:rPr>
        <w:t>„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Bilicenii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Noi</w:t>
      </w:r>
      <w:proofErr w:type="spellEnd"/>
      <w:r w:rsidR="002C3B53">
        <w:rPr>
          <w:rFonts w:eastAsia="Times New Roman"/>
          <w:b/>
          <w:bCs/>
          <w:noProof w:val="0"/>
          <w:lang w:val="en-US" w:eastAsia="ru-RU"/>
        </w:rPr>
        <w:t>”</w:t>
      </w:r>
      <w:r w:rsidRPr="00361E65">
        <w:rPr>
          <w:rFonts w:eastAsia="Times New Roman"/>
          <w:b/>
          <w:bCs/>
          <w:noProof w:val="0"/>
          <w:lang w:val="en-US" w:eastAsia="ru-RU"/>
        </w:rPr>
        <w:t xml:space="preserve">, s.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Bilicenii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Noi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>, r-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nul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Sîngerei</w:t>
      </w:r>
      <w:proofErr w:type="spellEnd"/>
    </w:p>
    <w:tbl>
      <w:tblPr>
        <w:tblStyle w:val="a3"/>
        <w:tblW w:w="5000" w:type="pct"/>
        <w:tblLook w:val="00A0" w:firstRow="1" w:lastRow="0" w:firstColumn="1" w:lastColumn="0" w:noHBand="0" w:noVBand="0"/>
      </w:tblPr>
      <w:tblGrid>
        <w:gridCol w:w="4980"/>
        <w:gridCol w:w="4981"/>
      </w:tblGrid>
      <w:tr w:rsidR="00D530B0" w:rsidRPr="00D530B0" w14:paraId="295C0C44" w14:textId="77777777" w:rsidTr="00DD280A">
        <w:tc>
          <w:tcPr>
            <w:tcW w:w="5000" w:type="pct"/>
            <w:gridSpan w:val="2"/>
          </w:tcPr>
          <w:p w14:paraId="2C8FF2A2" w14:textId="77777777" w:rsidR="00D530B0" w:rsidRPr="00D530B0" w:rsidRDefault="00D530B0" w:rsidP="00D530B0">
            <w:pPr>
              <w:tabs>
                <w:tab w:val="left" w:pos="2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 Denumirea sau numele autorului şi, după caz, a/al participanţilor la elaborarea proiectului actului normativ</w:t>
            </w:r>
          </w:p>
        </w:tc>
      </w:tr>
      <w:tr w:rsidR="00D530B0" w:rsidRPr="00D530B0" w14:paraId="3DD34E8D" w14:textId="77777777" w:rsidTr="00DD280A">
        <w:trPr>
          <w:trHeight w:val="113"/>
        </w:trPr>
        <w:tc>
          <w:tcPr>
            <w:tcW w:w="5000" w:type="pct"/>
            <w:gridSpan w:val="2"/>
          </w:tcPr>
          <w:p w14:paraId="4B4F5742" w14:textId="77777777" w:rsidR="00D530B0" w:rsidRPr="00D530B0" w:rsidRDefault="00D530B0" w:rsidP="00D53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Proiectul de decizie  este elaborat de către Direcția Educație.</w:t>
            </w:r>
          </w:p>
        </w:tc>
      </w:tr>
      <w:tr w:rsidR="00D530B0" w:rsidRPr="00D530B0" w14:paraId="3E97EAF3" w14:textId="77777777" w:rsidTr="00DD280A">
        <w:trPr>
          <w:trHeight w:val="169"/>
        </w:trPr>
        <w:tc>
          <w:tcPr>
            <w:tcW w:w="5000" w:type="pct"/>
            <w:gridSpan w:val="2"/>
          </w:tcPr>
          <w:p w14:paraId="6E794D50" w14:textId="77777777" w:rsidR="00D530B0" w:rsidRPr="00D530B0" w:rsidRDefault="00D530B0" w:rsidP="00D530B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Condiţiile ce au impus elaborarea proiectului actului normativ</w:t>
            </w:r>
          </w:p>
        </w:tc>
      </w:tr>
      <w:tr w:rsidR="00D530B0" w:rsidRPr="00D530B0" w14:paraId="3128A6C7" w14:textId="77777777" w:rsidTr="00DD280A">
        <w:trPr>
          <w:trHeight w:val="1351"/>
        </w:trPr>
        <w:tc>
          <w:tcPr>
            <w:tcW w:w="5000" w:type="pct"/>
            <w:gridSpan w:val="2"/>
          </w:tcPr>
          <w:p w14:paraId="651D53E7" w14:textId="6108592B" w:rsidR="00D530B0" w:rsidRPr="00D530B0" w:rsidRDefault="0095074C" w:rsidP="0095074C">
            <w:pPr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22">
              <w:rPr>
                <w:rFonts w:ascii="Times New Roman" w:hAnsi="Times New Roman" w:cs="Times New Roman"/>
                <w:sz w:val="24"/>
                <w:szCs w:val="24"/>
              </w:rPr>
              <w:t xml:space="preserve">Proiectul de decizie este elaborat în temeiul prevederilor </w:t>
            </w:r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art. 43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(2) </w:t>
            </w:r>
            <w:proofErr w:type="gram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din</w:t>
            </w:r>
            <w:proofErr w:type="gram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Legea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administrația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locală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436/2006; art. 4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(2) </w:t>
            </w:r>
            <w:proofErr w:type="gram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lit</w:t>
            </w:r>
            <w:proofErr w:type="gram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(g¹) din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Legea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435/2006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descentralizarea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administrativă</w:t>
            </w:r>
            <w:proofErr w:type="spellEnd"/>
            <w:proofErr w:type="gram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;</w:t>
            </w:r>
            <w:proofErr w:type="gram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art. 21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(1), art. 141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(1) </w:t>
            </w:r>
            <w:proofErr w:type="gram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lit</w:t>
            </w:r>
            <w:proofErr w:type="gram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j), art. 145¹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(2)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(3) din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Codul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Educației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Republicii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Moldova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152/2014; art. 204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. (1)</w:t>
            </w:r>
            <w:proofErr w:type="gram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-(</w:t>
            </w:r>
            <w:proofErr w:type="gram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2), art. 205-206 din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Codul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Civil al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Republicii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Moldova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1107/2002; art. 11, art. </w:t>
            </w:r>
            <w:proofErr w:type="gram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16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proofErr w:type="gram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art. 22 din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Legea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220/2007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înregistrarea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stat a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persoanelor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juridice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</w:t>
            </w:r>
            <w:proofErr w:type="gram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întreprinzătorilor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individuali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Hotărârii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Guvernului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868/2014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finanțarea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bază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cost standard per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</w:t>
            </w:r>
            <w:proofErr w:type="gram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instituțiilor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învățământ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primar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secundar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general (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ciclul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II) din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subordinea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autorităților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doilea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Regulamentului-cadru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organizare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funcționare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instituțiilor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învățământ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primar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secundar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ciclul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II,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aprobat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ordinul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MEC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253/2026;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Ordinului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MEC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770/2026 cu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Instrucțiunii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procedura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reorganizare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instituțiilor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învățământ</w:t>
            </w:r>
            <w:proofErr w:type="spellEnd"/>
            <w:r w:rsidRPr="00361E6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gene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ral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școală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primară-grădiniță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.</w:t>
            </w:r>
          </w:p>
        </w:tc>
      </w:tr>
      <w:tr w:rsidR="00D530B0" w:rsidRPr="00D530B0" w14:paraId="401AAF7F" w14:textId="77777777" w:rsidTr="00DD280A">
        <w:tc>
          <w:tcPr>
            <w:tcW w:w="5000" w:type="pct"/>
            <w:gridSpan w:val="2"/>
          </w:tcPr>
          <w:p w14:paraId="7F92DC4F" w14:textId="77777777" w:rsidR="00D530B0" w:rsidRPr="00D530B0" w:rsidRDefault="00D530B0" w:rsidP="00D530B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Obiectivele urmărite și soluțiile propuse</w:t>
            </w:r>
          </w:p>
        </w:tc>
      </w:tr>
      <w:tr w:rsidR="00D530B0" w:rsidRPr="00D530B0" w14:paraId="48D7FD90" w14:textId="77777777" w:rsidTr="00DD280A">
        <w:trPr>
          <w:trHeight w:val="557"/>
        </w:trPr>
        <w:tc>
          <w:tcPr>
            <w:tcW w:w="5000" w:type="pct"/>
            <w:gridSpan w:val="2"/>
          </w:tcPr>
          <w:p w14:paraId="1851A70E" w14:textId="30564233" w:rsidR="0095074C" w:rsidRPr="00CC7192" w:rsidRDefault="0095074C" w:rsidP="0095074C">
            <w:pPr>
              <w:ind w:firstLine="313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Procedura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reorganizare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Gimnaziul</w:t>
            </w:r>
            <w:r w:rsidR="00BF27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„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”</w:t>
            </w:r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s.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, r-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Școală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Primară-Grădiniță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„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”</w:t>
            </w:r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efectuează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confo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rmitate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Codului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</w:t>
            </w:r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ducației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Republicii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Moldova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152/2014,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precum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actelor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normative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subsecvente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care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reglementează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organizarea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funcționarea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învățământ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general.</w:t>
            </w:r>
          </w:p>
          <w:p w14:paraId="0F829529" w14:textId="77777777" w:rsidR="0095074C" w:rsidRPr="00CC7192" w:rsidRDefault="0095074C" w:rsidP="0095074C">
            <w:pPr>
              <w:ind w:firstLine="313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Scopul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constă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reorganizării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menționate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vederea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asigurării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unor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condiții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optime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școlarizare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copiilor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garantării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accesului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la un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proces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educațional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calitate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localitățile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.</w:t>
            </w:r>
          </w:p>
          <w:p w14:paraId="1FA10DE7" w14:textId="77777777" w:rsidR="0095074C" w:rsidRPr="00CC7192" w:rsidRDefault="0095074C" w:rsidP="0095074C">
            <w:pPr>
              <w:ind w:firstLine="313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Decizia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6/10 din 14.12.2012,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Gimnaziul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„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”</w:t>
            </w:r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s.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com.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inclus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Anexa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. 2 „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Lista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învățământ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fără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statut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persoană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juridică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executori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terțiari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buget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), care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fi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finanțate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intermediul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Direcției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Educație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”,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fiind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calificat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drept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„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școală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mică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”, conform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prevederilor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pct. 5 din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Hotărârea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Guvernului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868/2014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finanțarea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bază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cost standard per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</w:t>
            </w:r>
            <w:proofErr w:type="gram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învățământ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primar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secundar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general (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ciclul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II) din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subordinea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autorităților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doilea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Potrivit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prevederilor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menționate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școală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mică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considerată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învățământ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care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înregistrează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un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număr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egal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mic de 91 de „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ponderați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”.</w:t>
            </w:r>
          </w:p>
          <w:p w14:paraId="009F1FC1" w14:textId="77777777" w:rsidR="0095074C" w:rsidRPr="00CC7192" w:rsidRDefault="0095074C" w:rsidP="0095074C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Necesitatea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reorganizării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rezultat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urma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analizei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situației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actuale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sistemului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educațional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care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relevă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o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diminuare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continuă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numărului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fapt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permite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unei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funcționări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eficiente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sustenabile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</w:t>
            </w:r>
            <w:proofErr w:type="gram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învățământ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.</w:t>
            </w:r>
          </w:p>
          <w:p w14:paraId="7391D181" w14:textId="77777777" w:rsidR="0095074C" w:rsidRPr="00CC7192" w:rsidRDefault="0095074C" w:rsidP="0095074C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lastRenderedPageBreak/>
              <w:t>Astfel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anul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studii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2025–2026,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Gimnaziului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-au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făcut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studiile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54 de</w:t>
            </w:r>
            <w:proofErr w:type="gram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dintre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care 19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clasele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I–IV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35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clasele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V–IX.</w:t>
            </w:r>
          </w:p>
          <w:p w14:paraId="3C1F2A04" w14:textId="77777777" w:rsidR="0095074C" w:rsidRPr="00CC7192" w:rsidRDefault="0095074C" w:rsidP="0095074C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Totodată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analiza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datelor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demografice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natalitatea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localitate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relevă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o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tendință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continuă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descreștere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numărului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ceea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conduce,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perspectivă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la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diminuarea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accentuată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</w:t>
            </w:r>
            <w:proofErr w:type="gram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efectivului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imposibilitatea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menținerii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ciclului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gimnazial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condiții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eficiență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educațională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financiară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.</w:t>
            </w:r>
          </w:p>
          <w:p w14:paraId="129BACE7" w14:textId="77777777" w:rsidR="0095074C" w:rsidRDefault="0095074C" w:rsidP="0095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copii Nascuți în anii: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47"/>
              <w:gridCol w:w="1947"/>
              <w:gridCol w:w="1947"/>
              <w:gridCol w:w="1947"/>
              <w:gridCol w:w="1947"/>
            </w:tblGrid>
            <w:tr w:rsidR="0095074C" w14:paraId="1E83EB7A" w14:textId="77777777" w:rsidTr="007E728C">
              <w:tc>
                <w:tcPr>
                  <w:tcW w:w="2046" w:type="dxa"/>
                </w:tcPr>
                <w:p w14:paraId="7944DE66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046" w:type="dxa"/>
                </w:tcPr>
                <w:p w14:paraId="6214F001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046" w:type="dxa"/>
                </w:tcPr>
                <w:p w14:paraId="5848476E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046" w:type="dxa"/>
                </w:tcPr>
                <w:p w14:paraId="67E92478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046" w:type="dxa"/>
                </w:tcPr>
                <w:p w14:paraId="762903CE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</w:tr>
            <w:tr w:rsidR="0095074C" w14:paraId="702EDF41" w14:textId="77777777" w:rsidTr="007E728C">
              <w:tc>
                <w:tcPr>
                  <w:tcW w:w="2046" w:type="dxa"/>
                </w:tcPr>
                <w:p w14:paraId="45ED61B0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46" w:type="dxa"/>
                </w:tcPr>
                <w:p w14:paraId="3EC989E2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46" w:type="dxa"/>
                </w:tcPr>
                <w:p w14:paraId="54BB80FC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46" w:type="dxa"/>
                </w:tcPr>
                <w:p w14:paraId="3850343D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46" w:type="dxa"/>
                </w:tcPr>
                <w:p w14:paraId="77F0E930" w14:textId="77777777" w:rsidR="0095074C" w:rsidRDefault="0095074C" w:rsidP="0095074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11578E1" w14:textId="77777777" w:rsidR="0095074C" w:rsidRPr="00D530B0" w:rsidRDefault="0095074C" w:rsidP="0095074C">
            <w:pPr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Baza materială existentă nu asigură desfășurarea eficientă a procesului educațional: </w:t>
            </w:r>
          </w:p>
          <w:p w14:paraId="0FCB47C7" w14:textId="77777777" w:rsidR="0095074C" w:rsidRPr="00D530B0" w:rsidRDefault="0095074C" w:rsidP="0095074C">
            <w:pPr>
              <w:tabs>
                <w:tab w:val="left" w:pos="367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Lipsa laboratoarelor de fizică, chimie, biologie;</w:t>
            </w:r>
          </w:p>
          <w:p w14:paraId="048D5053" w14:textId="77777777" w:rsidR="0095074C" w:rsidRPr="00D530B0" w:rsidRDefault="0095074C" w:rsidP="0095074C">
            <w:pPr>
              <w:tabs>
                <w:tab w:val="left" w:pos="367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Lipsa  cabinetului medical, a bibliotecii, a sălii de lectură, a terenului de sport;</w:t>
            </w:r>
          </w:p>
          <w:p w14:paraId="3C4F2804" w14:textId="77777777" w:rsidR="0095074C" w:rsidRPr="00D530B0" w:rsidRDefault="0095074C" w:rsidP="0095074C">
            <w:pPr>
              <w:tabs>
                <w:tab w:val="left" w:pos="367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Lipsa facilităților pentru elevii cu cerințe educaționale speciale ( grup sanitar);</w:t>
            </w:r>
          </w:p>
          <w:p w14:paraId="43BEED35" w14:textId="77777777" w:rsidR="0095074C" w:rsidRPr="00D530B0" w:rsidRDefault="0095074C" w:rsidP="0095074C">
            <w:pPr>
              <w:tabs>
                <w:tab w:val="left" w:pos="367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Lipsa  sălii  sportive, de festivități;</w:t>
            </w:r>
          </w:p>
          <w:p w14:paraId="0E9ED63C" w14:textId="77777777" w:rsidR="0095074C" w:rsidRPr="00D530B0" w:rsidRDefault="0095074C" w:rsidP="0095074C">
            <w:pPr>
              <w:tabs>
                <w:tab w:val="left" w:pos="367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Prezența unui singur bloc sanitar intern;</w:t>
            </w:r>
          </w:p>
          <w:p w14:paraId="7E8D7650" w14:textId="77777777" w:rsidR="0095074C" w:rsidRPr="00D530B0" w:rsidRDefault="0095074C" w:rsidP="0095074C">
            <w:pPr>
              <w:tabs>
                <w:tab w:val="left" w:pos="367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Blocul alimentar necesită  utilaj tehnologic conform  standardelor.</w:t>
            </w:r>
          </w:p>
          <w:p w14:paraId="1400D5F3" w14:textId="77777777" w:rsidR="0095074C" w:rsidRPr="00D530B0" w:rsidRDefault="0095074C" w:rsidP="0095074C">
            <w:pPr>
              <w:tabs>
                <w:tab w:val="left" w:pos="367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Bugetul (mii lei) anul 2026</w:t>
            </w:r>
          </w:p>
          <w:p w14:paraId="7F1C7A8E" w14:textId="77777777" w:rsidR="0095074C" w:rsidRPr="00D530B0" w:rsidRDefault="0095074C" w:rsidP="0095074C">
            <w:pPr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Bugetul total al școlii anul 2026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2083,4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mii lei </w:t>
            </w:r>
          </w:p>
          <w:p w14:paraId="02968B08" w14:textId="77777777" w:rsidR="0095074C" w:rsidRPr="00D530B0" w:rsidRDefault="0095074C" w:rsidP="0095074C">
            <w:pPr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Deficit de buget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1222,3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mii lei      </w:t>
            </w:r>
          </w:p>
          <w:p w14:paraId="646065AE" w14:textId="77777777" w:rsidR="0095074C" w:rsidRPr="00CC7192" w:rsidRDefault="0095074C" w:rsidP="0095074C">
            <w:pPr>
              <w:tabs>
                <w:tab w:val="left" w:pos="313"/>
              </w:tabs>
              <w:ind w:firstLine="313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Considerăm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oportun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justificat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prezentul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acesta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fiind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orientat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spre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interesului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superior al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copilului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precum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spre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crearea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unor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condiții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educaționale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eficiente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sustenabile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beneficiul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al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părinților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personalului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didactic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nedidactic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.</w:t>
            </w:r>
          </w:p>
          <w:p w14:paraId="6129B1C2" w14:textId="2376E0C1" w:rsidR="0095074C" w:rsidRPr="00CC7192" w:rsidRDefault="0095074C" w:rsidP="0095074C">
            <w:pPr>
              <w:tabs>
                <w:tab w:val="left" w:pos="313"/>
              </w:tabs>
              <w:ind w:firstLine="313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acest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context, se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propune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reorganizarea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transformare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Gimnaziul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”</w:t>
            </w:r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s.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, r-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Instituție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Școală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Primară-Grădiniță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„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Bilicenii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”</w:t>
            </w:r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</w:t>
            </w:r>
            <w:r w:rsidR="00396AAF" w:rsidRPr="00396AAF">
              <w:rPr>
                <w:rFonts w:ascii="Times New Roman" w:hAnsi="Times New Roman" w:cs="Times New Roman"/>
                <w:sz w:val="24"/>
                <w:lang w:val="en-US"/>
              </w:rPr>
              <w:t>începând cu data de 01 septembrie 2026.</w:t>
            </w:r>
          </w:p>
          <w:p w14:paraId="5ACB6B15" w14:textId="17953F63" w:rsidR="00D530B0" w:rsidRPr="002C735D" w:rsidRDefault="0095074C" w:rsidP="0095074C">
            <w:pPr>
              <w:ind w:firstLine="31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Stabilirea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acestei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date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permite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Direcției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Educație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respectării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procedurilor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legale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prevăzute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art. 88, art. </w:t>
            </w:r>
            <w:proofErr w:type="gram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88¹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proofErr w:type="gram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art. 184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(1) </w:t>
            </w:r>
            <w:proofErr w:type="gram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lit</w:t>
            </w:r>
            <w:proofErr w:type="gram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a) </w:t>
            </w:r>
            <w:proofErr w:type="gram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din</w:t>
            </w:r>
            <w:proofErr w:type="gram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Codul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muncii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Republicii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Moldova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. 154/2003,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referitoare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informarea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preavizarea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salariaților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sub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semnătură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cel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puțin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două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luni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înainte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reorganizarea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unității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eventuala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reducere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numărului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statelor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personal,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precum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aplicarea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procedurilor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legale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încetarea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transferul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raporturilor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muncă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la o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altă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unitate</w:t>
            </w:r>
            <w:proofErr w:type="spellEnd"/>
            <w:r w:rsidRPr="00CC719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.</w:t>
            </w:r>
          </w:p>
        </w:tc>
      </w:tr>
      <w:tr w:rsidR="00D530B0" w:rsidRPr="00D530B0" w14:paraId="7E3E79B7" w14:textId="77777777" w:rsidTr="00DD280A">
        <w:trPr>
          <w:trHeight w:val="148"/>
        </w:trPr>
        <w:tc>
          <w:tcPr>
            <w:tcW w:w="5000" w:type="pct"/>
            <w:gridSpan w:val="2"/>
          </w:tcPr>
          <w:p w14:paraId="21275D99" w14:textId="77777777" w:rsidR="00D530B0" w:rsidRPr="00D530B0" w:rsidRDefault="00D530B0" w:rsidP="00D53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4. Analiza impactului de reglementare</w:t>
            </w:r>
          </w:p>
        </w:tc>
      </w:tr>
      <w:tr w:rsidR="00D530B0" w:rsidRPr="00D530B0" w14:paraId="7CD058DF" w14:textId="77777777" w:rsidTr="00DD280A">
        <w:trPr>
          <w:trHeight w:val="350"/>
        </w:trPr>
        <w:tc>
          <w:tcPr>
            <w:tcW w:w="5000" w:type="pct"/>
            <w:gridSpan w:val="2"/>
          </w:tcPr>
          <w:p w14:paraId="3DD05818" w14:textId="147A7F10" w:rsidR="00D530B0" w:rsidRPr="00D530B0" w:rsidRDefault="00D530B0" w:rsidP="00D530B0">
            <w:pPr>
              <w:tabs>
                <w:tab w:val="left" w:pos="27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3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Proiectul de decizie </w:t>
            </w:r>
            <w:r w:rsidR="00C06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 </w:t>
            </w:r>
            <w:r w:rsidRPr="00D530B0">
              <w:rPr>
                <w:rFonts w:ascii="Times New Roman" w:eastAsia="Calibri" w:hAnsi="Times New Roman" w:cs="Times New Roman"/>
                <w:sz w:val="24"/>
                <w:szCs w:val="24"/>
              </w:rPr>
              <w:t>necesită alocarea</w:t>
            </w:r>
            <w:r w:rsidR="00C06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unor surse financiare</w:t>
            </w:r>
            <w:r w:rsidRPr="00D53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bugetului CR.</w:t>
            </w:r>
          </w:p>
        </w:tc>
      </w:tr>
      <w:tr w:rsidR="00D530B0" w:rsidRPr="00D530B0" w14:paraId="56EB2C1A" w14:textId="77777777" w:rsidTr="00DD280A">
        <w:trPr>
          <w:trHeight w:val="82"/>
        </w:trPr>
        <w:tc>
          <w:tcPr>
            <w:tcW w:w="5000" w:type="pct"/>
            <w:gridSpan w:val="2"/>
          </w:tcPr>
          <w:p w14:paraId="5FEE6024" w14:textId="77777777" w:rsidR="00D530B0" w:rsidRPr="00D530B0" w:rsidRDefault="00D530B0" w:rsidP="00D530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5. Compatibilitatea proiectului actului normative cu legislația UE - 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„Nu este aplicabil”.</w:t>
            </w:r>
          </w:p>
        </w:tc>
      </w:tr>
      <w:tr w:rsidR="00D530B0" w:rsidRPr="00D530B0" w14:paraId="23011F25" w14:textId="77777777" w:rsidTr="00DD280A">
        <w:trPr>
          <w:trHeight w:val="82"/>
        </w:trPr>
        <w:tc>
          <w:tcPr>
            <w:tcW w:w="5000" w:type="pct"/>
            <w:gridSpan w:val="2"/>
          </w:tcPr>
          <w:p w14:paraId="1707D849" w14:textId="2E4B876B" w:rsidR="00D530B0" w:rsidRPr="00D530B0" w:rsidRDefault="00D530B0" w:rsidP="00D530B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53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6. Avizarea și consultarea publică a proiectului actului normative - 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este aplicabil</w:t>
            </w:r>
            <w:r w:rsidR="00C06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ă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întrucât proiectul </w:t>
            </w:r>
            <w:r w:rsidR="00C06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fost consultat cu APL de nivelul II , părnții și reprezentanți legali ai elevilor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530B0" w:rsidRPr="00D530B0" w14:paraId="192D2A80" w14:textId="77777777" w:rsidTr="00DD280A">
        <w:trPr>
          <w:trHeight w:val="82"/>
        </w:trPr>
        <w:tc>
          <w:tcPr>
            <w:tcW w:w="5000" w:type="pct"/>
            <w:gridSpan w:val="2"/>
          </w:tcPr>
          <w:p w14:paraId="7D1491E0" w14:textId="77777777" w:rsidR="00D530B0" w:rsidRPr="00D530B0" w:rsidRDefault="00D530B0" w:rsidP="00D530B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53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7. Concluziile expertizelor - 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„Nu este aplicabil”.</w:t>
            </w:r>
          </w:p>
        </w:tc>
      </w:tr>
      <w:tr w:rsidR="00D530B0" w:rsidRPr="00D530B0" w14:paraId="2445F840" w14:textId="77777777" w:rsidTr="00DD280A">
        <w:trPr>
          <w:trHeight w:val="65"/>
        </w:trPr>
        <w:tc>
          <w:tcPr>
            <w:tcW w:w="5000" w:type="pct"/>
            <w:gridSpan w:val="2"/>
          </w:tcPr>
          <w:p w14:paraId="74C4282B" w14:textId="77777777" w:rsidR="00D530B0" w:rsidRPr="00D530B0" w:rsidRDefault="00D530B0" w:rsidP="00D530B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 Modul de încorporare a actului în cadrul normativ existent </w:t>
            </w:r>
          </w:p>
        </w:tc>
      </w:tr>
      <w:tr w:rsidR="00D530B0" w:rsidRPr="00D530B0" w14:paraId="71E28A94" w14:textId="77777777" w:rsidTr="00DD280A">
        <w:trPr>
          <w:trHeight w:val="323"/>
        </w:trPr>
        <w:tc>
          <w:tcPr>
            <w:tcW w:w="5000" w:type="pct"/>
            <w:gridSpan w:val="2"/>
          </w:tcPr>
          <w:p w14:paraId="2B518831" w14:textId="77777777" w:rsidR="00D530B0" w:rsidRPr="00D530B0" w:rsidRDefault="00D530B0" w:rsidP="00D530B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Proiectul de decizie se încadrează în cadrul normativ existent și se emite în temeiul legislației în vigoare, fără a necesita modificarea sau abrogarea altor acte normative.</w:t>
            </w:r>
          </w:p>
        </w:tc>
      </w:tr>
      <w:tr w:rsidR="00D530B0" w:rsidRPr="00D530B0" w14:paraId="4C401EB1" w14:textId="77777777" w:rsidTr="00DD280A">
        <w:trPr>
          <w:trHeight w:val="148"/>
        </w:trPr>
        <w:tc>
          <w:tcPr>
            <w:tcW w:w="5000" w:type="pct"/>
            <w:gridSpan w:val="2"/>
          </w:tcPr>
          <w:p w14:paraId="1AEB343F" w14:textId="77777777" w:rsidR="00D530B0" w:rsidRPr="00D530B0" w:rsidRDefault="00D530B0" w:rsidP="00D530B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 Măsurile necesare pentru implementarea prevederilor proiectului actului normativ - </w:t>
            </w:r>
            <w:r w:rsidRPr="00D53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„Nu este aplicabil”.</w:t>
            </w:r>
          </w:p>
        </w:tc>
      </w:tr>
      <w:tr w:rsidR="00D530B0" w:rsidRPr="00D530B0" w14:paraId="74234EDE" w14:textId="77777777" w:rsidTr="00DD280A">
        <w:tblPrEx>
          <w:tblLook w:val="04A0" w:firstRow="1" w:lastRow="0" w:firstColumn="1" w:lastColumn="0" w:noHBand="0" w:noVBand="1"/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2E642EB" w14:textId="77777777" w:rsidR="00D530B0" w:rsidRPr="00D530B0" w:rsidRDefault="00D530B0" w:rsidP="00D5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20A4F" w14:textId="77777777" w:rsidR="00D530B0" w:rsidRPr="00D530B0" w:rsidRDefault="00D530B0" w:rsidP="00D5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269D7" w14:textId="77777777" w:rsidR="00D530B0" w:rsidRPr="00D530B0" w:rsidRDefault="00D530B0" w:rsidP="00D5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Întocmit</w:t>
            </w:r>
          </w:p>
          <w:p w14:paraId="4D534195" w14:textId="77777777" w:rsidR="00D530B0" w:rsidRPr="00D530B0" w:rsidRDefault="00D530B0" w:rsidP="00D530B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Șef Direcția Educație</w:t>
            </w:r>
          </w:p>
          <w:p w14:paraId="0E07E14D" w14:textId="77777777" w:rsidR="00D530B0" w:rsidRPr="00D530B0" w:rsidRDefault="00D530B0" w:rsidP="00D5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Nicolae MELINTE</w:t>
            </w:r>
          </w:p>
          <w:p w14:paraId="5F5AF73A" w14:textId="77777777" w:rsidR="00D530B0" w:rsidRPr="00D530B0" w:rsidRDefault="00D530B0" w:rsidP="00D5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FCB4503" w14:textId="77777777" w:rsidR="00D530B0" w:rsidRPr="00D530B0" w:rsidRDefault="00D530B0" w:rsidP="00D5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9644F0" w14:textId="61746197" w:rsidR="00D4195C" w:rsidRDefault="00D4195C">
      <w:pPr>
        <w:rPr>
          <w:rFonts w:ascii="Times New Roman" w:hAnsi="Times New Roman" w:cs="Times New Roman"/>
          <w:sz w:val="24"/>
          <w:szCs w:val="24"/>
        </w:rPr>
      </w:pPr>
    </w:p>
    <w:p w14:paraId="48D0D7C3" w14:textId="77777777" w:rsidR="00D4195C" w:rsidRDefault="00D41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horzAnchor="margin" w:tblpY="-360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655"/>
        <w:gridCol w:w="1619"/>
      </w:tblGrid>
      <w:tr w:rsidR="00D4195C" w:rsidRPr="00CE2F5B" w14:paraId="2F800F9D" w14:textId="77777777" w:rsidTr="002C735D">
        <w:trPr>
          <w:trHeight w:val="1799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42340" w14:textId="77777777" w:rsidR="00D4195C" w:rsidRPr="00CE2F5B" w:rsidRDefault="00D4195C" w:rsidP="002C735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14:paraId="38193EDE" w14:textId="77777777" w:rsidR="00D4195C" w:rsidRPr="00CE2F5B" w:rsidRDefault="00D4195C" w:rsidP="002C735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lang w:val="en-US"/>
              </w:rPr>
            </w:pPr>
            <w:r w:rsidRPr="00CE2F5B">
              <w:rPr>
                <w:rFonts w:eastAsiaTheme="minorEastAsia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0" wp14:anchorId="62843170" wp14:editId="04696FE8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224790</wp:posOffset>
                  </wp:positionV>
                  <wp:extent cx="569595" cy="689610"/>
                  <wp:effectExtent l="19050" t="0" r="1905" b="0"/>
                  <wp:wrapNone/>
                  <wp:docPr id="991713589" name="Рисунок 99171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DA4CA" w14:textId="77777777" w:rsidR="00D4195C" w:rsidRPr="00CE2F5B" w:rsidRDefault="00D4195C" w:rsidP="002C735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F7A091" w14:textId="77777777" w:rsidR="00D4195C" w:rsidRPr="00CE2F5B" w:rsidRDefault="00D4195C" w:rsidP="002C735D">
            <w:pPr>
              <w:keepNext/>
              <w:spacing w:after="0" w:line="276" w:lineRule="auto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CE2F5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REPUBLICA  MOLDOVA</w:t>
            </w:r>
          </w:p>
          <w:p w14:paraId="0DD7A396" w14:textId="77777777" w:rsidR="00D4195C" w:rsidRPr="00CE2F5B" w:rsidRDefault="00D4195C" w:rsidP="002C735D">
            <w:pPr>
              <w:keepNext/>
              <w:spacing w:after="0" w:line="276" w:lineRule="auto"/>
              <w:contextualSpacing/>
              <w:outlineLvl w:val="0"/>
              <w:rPr>
                <w:rFonts w:ascii="Times New Roman" w:eastAsiaTheme="minorEastAsia" w:hAnsi="Times New Roman" w:cs="Times New Roman"/>
                <w:b/>
              </w:rPr>
            </w:pPr>
            <w:r w:rsidRPr="00CE2F5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                     CONSILIUL  RAIONAL  </w:t>
            </w:r>
            <w:r w:rsidRPr="00CE2F5B">
              <w:rPr>
                <w:rFonts w:ascii="Times New Roman" w:eastAsiaTheme="minorEastAsia" w:hAnsi="Times New Roman" w:cs="Times New Roman"/>
                <w:b/>
                <w:lang w:val="it-IT"/>
              </w:rPr>
              <w:t>S</w:t>
            </w:r>
            <w:r w:rsidRPr="00CE2F5B">
              <w:rPr>
                <w:rFonts w:ascii="Times New Roman" w:eastAsiaTheme="minorEastAsia" w:hAnsi="Times New Roman" w:cs="Times New Roman"/>
                <w:b/>
              </w:rPr>
              <w:t>ÎNGEREI</w:t>
            </w:r>
          </w:p>
          <w:p w14:paraId="24AB5ADB" w14:textId="77777777" w:rsidR="00D4195C" w:rsidRPr="00CE2F5B" w:rsidRDefault="00D4195C" w:rsidP="002C735D">
            <w:pPr>
              <w:keepNext/>
              <w:spacing w:after="0" w:line="276" w:lineRule="auto"/>
              <w:contextualSpacing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CE2F5B">
              <w:rPr>
                <w:rFonts w:ascii="Times New Roman" w:eastAsiaTheme="minorEastAsia" w:hAnsi="Times New Roman" w:cs="Times New Roman"/>
                <w:b/>
              </w:rPr>
              <w:t xml:space="preserve">                              PREȘEDINTELE  RAIONULUI</w:t>
            </w:r>
          </w:p>
          <w:p w14:paraId="5CC94139" w14:textId="77777777" w:rsidR="00D4195C" w:rsidRPr="00CE2F5B" w:rsidRDefault="00D4195C" w:rsidP="002C735D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8145B" w14:textId="77777777" w:rsidR="00D4195C" w:rsidRPr="00CE2F5B" w:rsidRDefault="00D4195C" w:rsidP="002C735D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E2F5B">
              <w:rPr>
                <w:rFonts w:eastAsiaTheme="minorEastAsia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5BF6BF11" wp14:editId="240CDA53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645908929" name="Рисунок 645908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F91A913" w14:textId="77777777" w:rsidR="00D4195C" w:rsidRPr="00CE2F5B" w:rsidRDefault="00D4195C" w:rsidP="002C735D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</w:pPr>
            <w:r w:rsidRPr="00CE2F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ru-RU"/>
              </w:rPr>
              <w:drawing>
                <wp:inline distT="0" distB="0" distL="0" distR="0" wp14:anchorId="1C207241" wp14:editId="23CBE1C2">
                  <wp:extent cx="495935" cy="632460"/>
                  <wp:effectExtent l="19050" t="0" r="0" b="0"/>
                  <wp:docPr id="1170333117" name="Рисунок 1170333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FF25A" w14:textId="77777777" w:rsidR="00D4195C" w:rsidRPr="00CE2F5B" w:rsidRDefault="00D4195C" w:rsidP="002C735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  <w:p w14:paraId="18D1463B" w14:textId="77777777" w:rsidR="00D4195C" w:rsidRPr="00CE2F5B" w:rsidRDefault="00D4195C" w:rsidP="002C735D">
            <w:pPr>
              <w:spacing w:after="200" w:line="276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195C" w:rsidRPr="00CE2F5B" w14:paraId="644155AF" w14:textId="77777777" w:rsidTr="002C735D">
        <w:trPr>
          <w:trHeight w:val="278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5EE3CD21" w14:textId="77777777" w:rsidR="00D4195C" w:rsidRPr="00CE2F5B" w:rsidRDefault="00D4195C" w:rsidP="002C735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E2F5B">
              <w:rPr>
                <w:rFonts w:ascii="Times New Roman" w:eastAsiaTheme="minorEastAsia" w:hAnsi="Times New Roman" w:cs="Times New Roman"/>
                <w:b/>
              </w:rPr>
              <w:t>Direcția Educație</w:t>
            </w:r>
          </w:p>
        </w:tc>
      </w:tr>
    </w:tbl>
    <w:p w14:paraId="58B79BDD" w14:textId="77777777" w:rsidR="002C735D" w:rsidRDefault="002C735D" w:rsidP="00D4195C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14:paraId="26F32CBA" w14:textId="77777777" w:rsidR="00D4195C" w:rsidRPr="00CE2F5B" w:rsidRDefault="00D4195C" w:rsidP="00D4195C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F5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PROIECT DE  DECIZIE nr. ______</w:t>
      </w:r>
    </w:p>
    <w:p w14:paraId="5A07B15D" w14:textId="77777777" w:rsidR="00D4195C" w:rsidRPr="00CE2F5B" w:rsidRDefault="00D4195C" w:rsidP="00D4195C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din ,,_____„ _________________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E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42C15CC" w14:textId="77777777" w:rsidR="00D4195C" w:rsidRDefault="00D4195C" w:rsidP="00D419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46DCDE" w14:textId="77777777" w:rsidR="00361E65" w:rsidRDefault="00361E65" w:rsidP="00786203">
      <w:pPr>
        <w:pStyle w:val="a7"/>
        <w:spacing w:after="0" w:line="276" w:lineRule="auto"/>
        <w:rPr>
          <w:rFonts w:eastAsia="Times New Roman"/>
          <w:b/>
          <w:bCs/>
          <w:noProof w:val="0"/>
          <w:lang w:val="en-US" w:eastAsia="ru-RU"/>
        </w:rPr>
      </w:pPr>
      <w:r w:rsidRPr="00361E65">
        <w:rPr>
          <w:rFonts w:eastAsia="Times New Roman"/>
          <w:b/>
          <w:bCs/>
          <w:noProof w:val="0"/>
          <w:lang w:val="en-US" w:eastAsia="ru-RU"/>
        </w:rPr>
        <w:t xml:space="preserve">Cu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privire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la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reorganizarea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prin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transformare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</w:p>
    <w:p w14:paraId="0877F03E" w14:textId="5C138710" w:rsidR="00361E65" w:rsidRPr="00361E65" w:rsidRDefault="00361E65" w:rsidP="00786203">
      <w:pPr>
        <w:pStyle w:val="a7"/>
        <w:spacing w:after="0" w:line="276" w:lineRule="auto"/>
        <w:rPr>
          <w:rFonts w:eastAsia="Times New Roman"/>
          <w:noProof w:val="0"/>
          <w:lang w:val="en-US" w:eastAsia="ru-RU"/>
        </w:rPr>
      </w:pPr>
      <w:proofErr w:type="gramStart"/>
      <w:r w:rsidRPr="00361E65">
        <w:rPr>
          <w:rFonts w:eastAsia="Times New Roman"/>
          <w:b/>
          <w:bCs/>
          <w:noProof w:val="0"/>
          <w:lang w:val="en-US" w:eastAsia="ru-RU"/>
        </w:rPr>
        <w:t>a</w:t>
      </w:r>
      <w:proofErr w:type="gram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Gimnaziul</w:t>
      </w:r>
      <w:r w:rsidR="00BF2721">
        <w:rPr>
          <w:rFonts w:eastAsia="Times New Roman"/>
          <w:b/>
          <w:bCs/>
          <w:noProof w:val="0"/>
          <w:lang w:val="en-US" w:eastAsia="ru-RU"/>
        </w:rPr>
        <w:t>ui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r w:rsidR="002C3B53">
        <w:rPr>
          <w:rFonts w:eastAsia="Times New Roman"/>
          <w:b/>
          <w:bCs/>
          <w:noProof w:val="0"/>
          <w:lang w:val="en-US" w:eastAsia="ru-RU"/>
        </w:rPr>
        <w:t>„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Bilicenii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Noi</w:t>
      </w:r>
      <w:proofErr w:type="spellEnd"/>
      <w:r w:rsidR="002C3B53">
        <w:rPr>
          <w:rFonts w:eastAsia="Times New Roman"/>
          <w:b/>
          <w:bCs/>
          <w:noProof w:val="0"/>
          <w:lang w:val="en-US" w:eastAsia="ru-RU"/>
        </w:rPr>
        <w:t>”</w:t>
      </w:r>
      <w:r w:rsidRPr="00361E65">
        <w:rPr>
          <w:rFonts w:eastAsia="Times New Roman"/>
          <w:b/>
          <w:bCs/>
          <w:noProof w:val="0"/>
          <w:lang w:val="en-US" w:eastAsia="ru-RU"/>
        </w:rPr>
        <w:t xml:space="preserve">, s.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Bilicenii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Noi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>, r-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nul</w:t>
      </w:r>
      <w:proofErr w:type="spellEnd"/>
      <w:r w:rsidRPr="00361E65">
        <w:rPr>
          <w:rFonts w:eastAsia="Times New Roman"/>
          <w:b/>
          <w:bCs/>
          <w:noProof w:val="0"/>
          <w:lang w:val="en-US" w:eastAsia="ru-RU"/>
        </w:rPr>
        <w:t xml:space="preserve"> </w:t>
      </w:r>
      <w:proofErr w:type="spellStart"/>
      <w:r w:rsidRPr="00361E65">
        <w:rPr>
          <w:rFonts w:eastAsia="Times New Roman"/>
          <w:b/>
          <w:bCs/>
          <w:noProof w:val="0"/>
          <w:lang w:val="en-US" w:eastAsia="ru-RU"/>
        </w:rPr>
        <w:t>Sîngerei</w:t>
      </w:r>
      <w:proofErr w:type="spellEnd"/>
    </w:p>
    <w:p w14:paraId="067A0FC7" w14:textId="77777777" w:rsidR="00361E65" w:rsidRDefault="00361E65" w:rsidP="00786203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</w:p>
    <w:p w14:paraId="7C483BB5" w14:textId="221539D3" w:rsidR="00361E65" w:rsidRPr="00361E65" w:rsidRDefault="00361E65" w:rsidP="007862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Având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vedere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: Nota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fundamentare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„Cu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privire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la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reorganizarea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transformare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Gimnaziul</w:t>
      </w:r>
      <w:r w:rsidR="00BF2721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Bilicenii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s.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Bilicenii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, r-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Sîngerei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”;</w:t>
      </w:r>
    </w:p>
    <w:p w14:paraId="7A279001" w14:textId="77777777" w:rsidR="00361E65" w:rsidRPr="00361E65" w:rsidRDefault="00361E65" w:rsidP="007862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temeiul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art.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43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alin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(2)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din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Legea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privind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administrația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publică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locală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436/2006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; art.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4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alin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(2)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lit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(g¹) din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Legea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435/2006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privind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descentralizarea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administrativă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; art.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21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alin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(1), art.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141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alin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(1)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lit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j), art. 145¹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alin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(2)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și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(3) din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Codul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Educației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al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Republicii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Moldova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152/2014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; art.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204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alin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. (1)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-(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2), art. 205-206 din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Codul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Civil al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Republicii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Moldova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1107/2002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; art.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11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art.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16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și</w:t>
      </w:r>
      <w:proofErr w:type="spellEnd"/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art.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22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din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Legea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220/2007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privind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înregistrarea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stat 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persoanelor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juridice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şi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întreprinzătorilor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individuali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;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Hotărârii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Guvernului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868/2014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privind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finanțarea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bază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cost standard per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elev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instituțiilor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învățământ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primar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şi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secundar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general (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ciclul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I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şi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II) din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subordinea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autorităților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publice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locale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nivelul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al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doilea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;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Regulamentului-cadru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organizare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şi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funcționare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instituțiilor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învățământ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primar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şi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secundar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ciclul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I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şi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II,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aprobat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ordinul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MEC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253/2026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;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Ordinului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MEC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770/2026 cu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privire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la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aprobarea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Instrucțiunii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privind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procedura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reorganizare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instituțiilor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publice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învățământ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general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școală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primară-grădiniță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,</w:t>
      </w:r>
    </w:p>
    <w:p w14:paraId="5ACC5CF0" w14:textId="77777777" w:rsidR="00361E65" w:rsidRPr="00361E65" w:rsidRDefault="00361E65" w:rsidP="00786203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u-RU"/>
        </w:rPr>
      </w:pPr>
      <w:proofErr w:type="spellStart"/>
      <w:r w:rsidRPr="00361E65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u-RU"/>
        </w:rPr>
        <w:t>Consiliul</w:t>
      </w:r>
      <w:proofErr w:type="spellEnd"/>
      <w:r w:rsidRPr="00361E65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u-RU"/>
        </w:rPr>
        <w:t>raional</w:t>
      </w:r>
      <w:proofErr w:type="spellEnd"/>
      <w:r w:rsidRPr="00361E65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u-RU"/>
        </w:rPr>
        <w:t>Sîngerei</w:t>
      </w:r>
      <w:proofErr w:type="spellEnd"/>
      <w:r w:rsidRPr="00361E65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US" w:eastAsia="ru-RU"/>
        </w:rPr>
        <w:t>,</w:t>
      </w:r>
    </w:p>
    <w:p w14:paraId="6D1656A6" w14:textId="77777777" w:rsidR="00361E65" w:rsidRPr="00361E65" w:rsidRDefault="00361E65" w:rsidP="00786203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r w:rsidRPr="00361E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 w:eastAsia="ru-RU"/>
        </w:rPr>
        <w:t>D E C I D E:</w:t>
      </w:r>
    </w:p>
    <w:p w14:paraId="0D071AFD" w14:textId="0652296B" w:rsidR="00361E65" w:rsidRPr="00361E65" w:rsidRDefault="00361E65" w:rsidP="00786203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Se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aprobă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reorganizarea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transformare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Gimnaziul</w:t>
      </w:r>
      <w:r w:rsidR="00BF2721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ui</w:t>
      </w:r>
      <w:bookmarkStart w:id="0" w:name="_GoBack"/>
      <w:bookmarkEnd w:id="0"/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„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Bilicenii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”</w:t>
      </w:r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s.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Bilicenii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, r-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Sîngerei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Publică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Școală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Primară-Grădiniță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„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Bilicenii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”</w:t>
      </w:r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s.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Bilicenii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, r-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Sîngerei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începând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cu data de 1 </w:t>
      </w:r>
      <w:proofErr w:type="spellStart"/>
      <w:r w:rsidR="00102B6B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septembrie</w:t>
      </w:r>
      <w:proofErr w:type="spellEnd"/>
      <w:r w:rsidR="00102B6B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2026. </w:t>
      </w:r>
    </w:p>
    <w:p w14:paraId="64A318FA" w14:textId="77777777" w:rsidR="00361E65" w:rsidRPr="00361E65" w:rsidRDefault="00361E65" w:rsidP="00786203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Se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aprobă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excluderea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ciclului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învățământ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gimnazial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(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clasele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V-IX) din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structura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ca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urmare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înregistrării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unui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număr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redus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elevi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stabilit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art. 145¹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alin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</w:t>
      </w:r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(2)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din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Codul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Educației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. 152/2014. </w:t>
      </w:r>
    </w:p>
    <w:p w14:paraId="10A93143" w14:textId="77777777" w:rsidR="002C735D" w:rsidRDefault="00361E65" w:rsidP="002C735D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Publică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Școală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Primară-Grădiniță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r w:rsidR="00786203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„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Bilicenii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 w:rsidR="00786203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”</w:t>
      </w:r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s.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Bilicenii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, r-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Sîngerei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preia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totalitate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drepturile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și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obligațiile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entității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reorganizate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fiind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</w:t>
      </w:r>
      <w:r w:rsid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uccesorul</w:t>
      </w:r>
      <w:proofErr w:type="spellEnd"/>
      <w:r w:rsid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drept</w:t>
      </w:r>
      <w:proofErr w:type="spellEnd"/>
      <w:r w:rsid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al </w:t>
      </w:r>
      <w:proofErr w:type="spellStart"/>
      <w:r w:rsid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acesteia</w:t>
      </w:r>
      <w:proofErr w:type="spellEnd"/>
      <w:r w:rsid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.</w:t>
      </w:r>
    </w:p>
    <w:p w14:paraId="4D9F1034" w14:textId="77777777" w:rsidR="002C735D" w:rsidRDefault="00361E65" w:rsidP="002C735D">
      <w:pPr>
        <w:numPr>
          <w:ilvl w:val="0"/>
          <w:numId w:val="4"/>
        </w:numPr>
        <w:tabs>
          <w:tab w:val="clear" w:pos="720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Administrația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colaborare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cu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Direcția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Educație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va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asigura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:</w:t>
      </w:r>
    </w:p>
    <w:p w14:paraId="4949AA9C" w14:textId="0D7D1A0D" w:rsidR="00361E65" w:rsidRPr="002C735D" w:rsidRDefault="002C735D" w:rsidP="002C735D">
      <w:pPr>
        <w:pStyle w:val="a5"/>
        <w:numPr>
          <w:ilvl w:val="1"/>
          <w:numId w:val="8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transferul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elevilor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din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ciclul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gimnazial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către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instituția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învățământ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primitoare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Instituția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Publică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Gimnaziul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„Ion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Vatamanu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”, s.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Mîndreștii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com.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Bilicenii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Noi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, r-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nul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Sîngerei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cu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asigurarea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transportării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gratuite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 </w:t>
      </w:r>
      <w:proofErr w:type="spellStart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acestora</w:t>
      </w:r>
      <w:proofErr w:type="spellEnd"/>
      <w:r w:rsidR="00361E65" w:rsidRPr="002C735D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; </w:t>
      </w:r>
    </w:p>
    <w:p w14:paraId="2A22FA7D" w14:textId="77777777" w:rsidR="00361E65" w:rsidRPr="00361E65" w:rsidRDefault="00361E65" w:rsidP="00786203">
      <w:pPr>
        <w:tabs>
          <w:tab w:val="num" w:pos="360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4.2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notificarea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personalului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didactic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și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nedidactic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privind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modificarea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condițiilor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muncă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sau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după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caz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încetarea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raporturilor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muncă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conform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legislației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vigoare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;</w:t>
      </w:r>
    </w:p>
    <w:p w14:paraId="1AF062C2" w14:textId="77777777" w:rsidR="00361E65" w:rsidRPr="00361E65" w:rsidRDefault="00361E65" w:rsidP="0078620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4.3</w:t>
      </w:r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operarea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modificărilor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corespunzătoare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Statutul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instituției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și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înregistrarea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acestora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la IP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Agenția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Servicii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Publice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.</w:t>
      </w:r>
    </w:p>
    <w:p w14:paraId="13095BAF" w14:textId="77777777" w:rsidR="00361E65" w:rsidRPr="00361E65" w:rsidRDefault="00361E65" w:rsidP="002C735D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Responsabilitatea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pentru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asigurarea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realizării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prezentei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decizii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se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atribuie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Direcției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Educație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(dl.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Nicolae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Melinte)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și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vicepreședintei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raionului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(</w:t>
      </w:r>
      <w:proofErr w:type="spellStart"/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dna</w:t>
      </w:r>
      <w:proofErr w:type="spellEnd"/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Vera SERBUȘCA). </w:t>
      </w:r>
    </w:p>
    <w:p w14:paraId="690F0CAF" w14:textId="77777777" w:rsidR="00361E65" w:rsidRPr="00361E65" w:rsidRDefault="00361E65" w:rsidP="00786203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lastRenderedPageBreak/>
        <w:t>Controlul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asupra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executării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prezentei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decizii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se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pune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sarcina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Comisiei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consultative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pentru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învățământ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cultură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sport,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tineret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ocrotirea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sănătății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probleme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sociale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turism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şi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culte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persoana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președintelui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acesteia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dna</w:t>
      </w:r>
      <w:proofErr w:type="spellEnd"/>
      <w:proofErr w:type="gram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Alina TABARCEA. </w:t>
      </w:r>
    </w:p>
    <w:p w14:paraId="016673B0" w14:textId="0758E51D" w:rsidR="00361E65" w:rsidRPr="00361E65" w:rsidRDefault="00361E65" w:rsidP="00786203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Prezenta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decizie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poate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fi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contestată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la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Judecătoria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Bălți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(cu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sediul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mun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Bălți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str.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Hotinului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43),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termen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30 de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zile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de la data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publicării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,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în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conformitate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cu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prevederile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Codului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administrativ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al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Republicii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 Moldova </w:t>
      </w:r>
      <w:proofErr w:type="spellStart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nr</w:t>
      </w:r>
      <w:proofErr w:type="spellEnd"/>
      <w:r w:rsidRPr="00361E65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 xml:space="preserve">. 116/2018. </w:t>
      </w:r>
    </w:p>
    <w:p w14:paraId="5CDEF207" w14:textId="77777777" w:rsidR="00D4195C" w:rsidRPr="00283F95" w:rsidRDefault="00D4195C" w:rsidP="0078620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283F95">
        <w:rPr>
          <w:rFonts w:ascii="Times New Roman" w:eastAsiaTheme="minorEastAsia" w:hAnsi="Times New Roman" w:cs="Times New Roman"/>
          <w:b/>
          <w:lang w:val="en-US"/>
        </w:rPr>
        <w:t>PREȘEDINTE</w:t>
      </w:r>
    </w:p>
    <w:p w14:paraId="6FF7E80F" w14:textId="77777777" w:rsidR="00D4195C" w:rsidRPr="00283F95" w:rsidRDefault="00D4195C" w:rsidP="0078620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283F95">
        <w:rPr>
          <w:rFonts w:ascii="Times New Roman" w:eastAsiaTheme="minorEastAsia" w:hAnsi="Times New Roman" w:cs="Times New Roman"/>
          <w:b/>
          <w:lang w:val="en-US"/>
        </w:rPr>
        <w:t>Cristian CAINARIAN</w:t>
      </w:r>
    </w:p>
    <w:p w14:paraId="148E6869" w14:textId="77777777" w:rsidR="00D4195C" w:rsidRPr="00283F95" w:rsidRDefault="00D4195C" w:rsidP="007862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3F95">
        <w:rPr>
          <w:rFonts w:ascii="Times New Roman" w:eastAsiaTheme="minorEastAsia" w:hAnsi="Times New Roman" w:cs="Times New Roman"/>
          <w:b/>
          <w:lang w:val="en-US"/>
        </w:rPr>
        <w:t>________________________</w:t>
      </w:r>
    </w:p>
    <w:p w14:paraId="3648396B" w14:textId="77777777" w:rsidR="00D4195C" w:rsidRPr="00283F95" w:rsidRDefault="00D4195C" w:rsidP="00D41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F9D55" w14:textId="77777777" w:rsidR="00D4195C" w:rsidRPr="00283F95" w:rsidRDefault="00D4195C" w:rsidP="00D41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46" w:type="dxa"/>
        <w:jc w:val="center"/>
        <w:tblLook w:val="04A0" w:firstRow="1" w:lastRow="0" w:firstColumn="1" w:lastColumn="0" w:noHBand="0" w:noVBand="1"/>
      </w:tblPr>
      <w:tblGrid>
        <w:gridCol w:w="4673"/>
        <w:gridCol w:w="4673"/>
      </w:tblGrid>
      <w:tr w:rsidR="00D4195C" w:rsidRPr="00283F95" w14:paraId="77B19069" w14:textId="77777777" w:rsidTr="00A5546C">
        <w:trPr>
          <w:jc w:val="center"/>
        </w:trPr>
        <w:tc>
          <w:tcPr>
            <w:tcW w:w="4673" w:type="dxa"/>
          </w:tcPr>
          <w:p w14:paraId="36D38917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</w:pPr>
            <w:r w:rsidRPr="0028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  <w:t>CONTRASEMNEAZĂ</w:t>
            </w:r>
          </w:p>
          <w:p w14:paraId="6C3F0E92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</w:pPr>
            <w:r w:rsidRPr="0028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  <w:t xml:space="preserve">Secretar </w:t>
            </w:r>
          </w:p>
          <w:p w14:paraId="4A1EE15D" w14:textId="77777777" w:rsidR="00D4195C" w:rsidRPr="00DC7D46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A" w:eastAsia="ru-RU"/>
              </w:rPr>
            </w:pPr>
            <w:r w:rsidRPr="0028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  <w:t>Consiliului raional</w:t>
            </w:r>
          </w:p>
          <w:p w14:paraId="1DB87D09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</w:pPr>
            <w:r w:rsidRPr="00DC7D46">
              <w:rPr>
                <w:rFonts w:ascii="Times New Roman" w:hAnsi="Times New Roman" w:cs="Times New Roman"/>
                <w:b/>
                <w:sz w:val="24"/>
                <w:szCs w:val="24"/>
                <w:lang w:val="fr-CA" w:eastAsia="ru-RU"/>
              </w:rPr>
              <w:t>Angela MIHAILIUC</w:t>
            </w:r>
          </w:p>
          <w:p w14:paraId="49A18A5A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</w:t>
            </w:r>
          </w:p>
          <w:p w14:paraId="55456E7E" w14:textId="77777777" w:rsidR="00D4195C" w:rsidRPr="00283F95" w:rsidRDefault="00D4195C" w:rsidP="00A55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283F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semnătura</w:t>
            </w: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3ACC2C5" w14:textId="77777777" w:rsidR="00D4195C" w:rsidRPr="00283F95" w:rsidRDefault="00D4195C" w:rsidP="00A55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75B8E817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</w:pPr>
            <w:r w:rsidRPr="0028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  <w:t xml:space="preserve">SUSŢIN </w:t>
            </w:r>
          </w:p>
          <w:p w14:paraId="51ACA31B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ru-RU"/>
              </w:rPr>
            </w:pPr>
            <w:r w:rsidRPr="0028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  <w:t>Vicepreședinta raionului</w:t>
            </w:r>
          </w:p>
          <w:p w14:paraId="66FA1A3F" w14:textId="77777777" w:rsidR="00D4195C" w:rsidRPr="00786203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</w:pPr>
            <w:r w:rsidRPr="00786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 w:eastAsia="ru-RU"/>
              </w:rPr>
              <w:t>Vera SERBUȘCA</w:t>
            </w:r>
          </w:p>
          <w:p w14:paraId="23CDE21E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ru-RU"/>
              </w:rPr>
            </w:pP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ru-RU"/>
              </w:rPr>
              <w:t>__________________________</w:t>
            </w:r>
          </w:p>
          <w:p w14:paraId="2C685CB6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283F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semnătura</w:t>
            </w: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3AB9745B" w14:textId="77777777" w:rsidR="00D4195C" w:rsidRPr="00283F95" w:rsidRDefault="00D4195C" w:rsidP="00A55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195C" w:rsidRPr="00283F95" w14:paraId="4F91F1F5" w14:textId="77777777" w:rsidTr="00A5546C">
        <w:trPr>
          <w:jc w:val="center"/>
        </w:trPr>
        <w:tc>
          <w:tcPr>
            <w:tcW w:w="4673" w:type="dxa"/>
          </w:tcPr>
          <w:p w14:paraId="71FE05AD" w14:textId="77777777" w:rsidR="00D4195C" w:rsidRPr="00283F95" w:rsidRDefault="00D4195C" w:rsidP="00A5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ru-RU"/>
              </w:rPr>
            </w:pPr>
          </w:p>
          <w:p w14:paraId="392CAFAA" w14:textId="77777777" w:rsidR="00D4195C" w:rsidRPr="00283F95" w:rsidRDefault="00D4195C" w:rsidP="00A5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ru-RU"/>
              </w:rPr>
            </w:pPr>
            <w:r w:rsidRPr="0028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ru-RU"/>
              </w:rPr>
              <w:t>ÎNTOCMIT</w:t>
            </w:r>
          </w:p>
          <w:p w14:paraId="025BE34E" w14:textId="77777777" w:rsidR="00D4195C" w:rsidRPr="00DC7D46" w:rsidRDefault="00D4195C" w:rsidP="00A55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Șef  Direcția Educație</w:t>
            </w:r>
          </w:p>
          <w:p w14:paraId="1A2BD2F2" w14:textId="77777777" w:rsidR="00D4195C" w:rsidRPr="00283F95" w:rsidRDefault="00D4195C" w:rsidP="00A5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D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Nicolae MELINTE</w:t>
            </w:r>
          </w:p>
          <w:p w14:paraId="1E485CD1" w14:textId="77777777" w:rsidR="00D4195C" w:rsidRPr="00283F95" w:rsidRDefault="00D4195C" w:rsidP="00A5546C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</w:p>
          <w:p w14:paraId="591D92AB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5E9094AB" w14:textId="77777777" w:rsidR="00D4195C" w:rsidRPr="00283F95" w:rsidRDefault="00D4195C" w:rsidP="00A5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8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semnătura</w:t>
            </w: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BA44932" w14:textId="77777777" w:rsidR="00D4195C" w:rsidRPr="00283F95" w:rsidRDefault="00D4195C" w:rsidP="00A55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89904A5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53DC9F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COORDONAT</w:t>
            </w:r>
          </w:p>
          <w:p w14:paraId="49439FD2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Șefă, Secția Juridică și Resurse Umane</w:t>
            </w:r>
          </w:p>
          <w:p w14:paraId="42570FE2" w14:textId="77777777" w:rsidR="00D4195C" w:rsidRPr="00786203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Oxana TABARCEA</w:t>
            </w:r>
          </w:p>
          <w:p w14:paraId="21092DB7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ru-RU"/>
              </w:rPr>
            </w:pPr>
          </w:p>
          <w:p w14:paraId="782B8C6F" w14:textId="77777777" w:rsidR="00D4195C" w:rsidRPr="00283F95" w:rsidRDefault="00D4195C" w:rsidP="00A5546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ru-RU"/>
              </w:rPr>
            </w:pP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ru-RU"/>
              </w:rPr>
              <w:t>_________________________</w:t>
            </w:r>
          </w:p>
          <w:p w14:paraId="39B77F0D" w14:textId="77777777" w:rsidR="00D4195C" w:rsidRPr="00283F95" w:rsidRDefault="00D4195C" w:rsidP="00A55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8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semnătura</w:t>
            </w:r>
            <w:r w:rsidRPr="002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2CFC34D9" w14:textId="77777777" w:rsidR="00D4195C" w:rsidRPr="00D70B97" w:rsidRDefault="00D4195C" w:rsidP="00D4195C">
      <w:p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3E3E29"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14:paraId="70D61F1C" w14:textId="77777777" w:rsidR="00C12273" w:rsidRPr="00D530B0" w:rsidRDefault="00C12273">
      <w:pPr>
        <w:rPr>
          <w:rFonts w:ascii="Times New Roman" w:hAnsi="Times New Roman" w:cs="Times New Roman"/>
          <w:sz w:val="24"/>
          <w:szCs w:val="24"/>
        </w:rPr>
      </w:pPr>
    </w:p>
    <w:sectPr w:rsidR="00C12273" w:rsidRPr="00D530B0" w:rsidSect="00946DEC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1E32"/>
    <w:multiLevelType w:val="hybridMultilevel"/>
    <w:tmpl w:val="4566B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652B85"/>
    <w:multiLevelType w:val="multilevel"/>
    <w:tmpl w:val="7D4686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C668B"/>
    <w:multiLevelType w:val="multilevel"/>
    <w:tmpl w:val="7798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84584C"/>
    <w:multiLevelType w:val="multilevel"/>
    <w:tmpl w:val="C53C1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0D45132"/>
    <w:multiLevelType w:val="multilevel"/>
    <w:tmpl w:val="7708CA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7E6226"/>
    <w:multiLevelType w:val="multilevel"/>
    <w:tmpl w:val="4D4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D5A21"/>
    <w:multiLevelType w:val="multilevel"/>
    <w:tmpl w:val="CA5A95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B35EA"/>
    <w:multiLevelType w:val="multilevel"/>
    <w:tmpl w:val="1CD8E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BD"/>
    <w:rsid w:val="000B7E80"/>
    <w:rsid w:val="00102B6B"/>
    <w:rsid w:val="002A175C"/>
    <w:rsid w:val="002C3B53"/>
    <w:rsid w:val="002C735D"/>
    <w:rsid w:val="00361E65"/>
    <w:rsid w:val="00385E65"/>
    <w:rsid w:val="00396AAF"/>
    <w:rsid w:val="004947C9"/>
    <w:rsid w:val="004E4CBD"/>
    <w:rsid w:val="005A59ED"/>
    <w:rsid w:val="005D71C3"/>
    <w:rsid w:val="00786203"/>
    <w:rsid w:val="007922E3"/>
    <w:rsid w:val="00946DEC"/>
    <w:rsid w:val="0095074C"/>
    <w:rsid w:val="00A26F6F"/>
    <w:rsid w:val="00A5546C"/>
    <w:rsid w:val="00BF2721"/>
    <w:rsid w:val="00C0626C"/>
    <w:rsid w:val="00C12273"/>
    <w:rsid w:val="00CC7192"/>
    <w:rsid w:val="00D4195C"/>
    <w:rsid w:val="00D530B0"/>
    <w:rsid w:val="00DD09DA"/>
    <w:rsid w:val="00DE41BD"/>
    <w:rsid w:val="00E3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071"/>
  <w15:chartTrackingRefBased/>
  <w15:docId w15:val="{D53D3CAC-292B-4DC7-AF2D-346FB6DC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HotarirePunct1 Знак"/>
    <w:link w:val="a5"/>
    <w:uiPriority w:val="34"/>
    <w:locked/>
    <w:rsid w:val="00D4195C"/>
  </w:style>
  <w:style w:type="paragraph" w:styleId="a5">
    <w:name w:val="List Paragraph"/>
    <w:aliases w:val="HotarirePunct1"/>
    <w:basedOn w:val="a"/>
    <w:link w:val="a4"/>
    <w:uiPriority w:val="34"/>
    <w:qFormat/>
    <w:rsid w:val="00D4195C"/>
    <w:pPr>
      <w:spacing w:line="256" w:lineRule="auto"/>
      <w:ind w:left="720"/>
      <w:contextualSpacing/>
    </w:pPr>
  </w:style>
  <w:style w:type="table" w:styleId="a6">
    <w:name w:val="Grid Table Light"/>
    <w:basedOn w:val="a1"/>
    <w:uiPriority w:val="40"/>
    <w:rsid w:val="00D4195C"/>
    <w:pPr>
      <w:spacing w:after="0" w:line="240" w:lineRule="auto"/>
    </w:pPr>
    <w:rPr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semiHidden/>
    <w:unhideWhenUsed/>
    <w:rsid w:val="00361E65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3B53"/>
    <w:rPr>
      <w:rFonts w:ascii="Segoe UI" w:hAnsi="Segoe UI" w:cs="Segoe UI"/>
      <w:noProof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1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6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95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2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0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46600-2539-49CD-A1B2-D57D6D1E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1652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Mihai Fecăuțeanu</cp:lastModifiedBy>
  <cp:revision>7</cp:revision>
  <cp:lastPrinted>2026-05-22T07:55:00Z</cp:lastPrinted>
  <dcterms:created xsi:type="dcterms:W3CDTF">2026-05-22T07:53:00Z</dcterms:created>
  <dcterms:modified xsi:type="dcterms:W3CDTF">2026-05-26T12:48:00Z</dcterms:modified>
</cp:coreProperties>
</file>