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bottomFromText="200" w:vertAnchor="text" w:horzAnchor="margin" w:tblpXSpec="center" w:tblpY="19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781"/>
        <w:gridCol w:w="4313"/>
      </w:tblGrid>
      <w:tr w14:paraId="130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4086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27ACCA9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REPUBLICA  MOLDOVA</w:t>
            </w:r>
          </w:p>
          <w:p w14:paraId="3C0A1F93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CONSILIUL  RAIONAL</w:t>
            </w:r>
          </w:p>
          <w:p w14:paraId="628882F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2A14CF0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B578AE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РЕСПУБЛИКА МОЛДОВА</w:t>
            </w:r>
          </w:p>
          <w:p w14:paraId="6878725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СЫНДЖЕРЕЙСКИЙ</w:t>
            </w:r>
          </w:p>
          <w:p w14:paraId="531CCD93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РАЙОННЫЙ СОВЕТ</w:t>
            </w:r>
          </w:p>
        </w:tc>
      </w:tr>
    </w:tbl>
    <w:p w14:paraId="35E13172">
      <w:pPr>
        <w:jc w:val="right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EXTRAS</w:t>
      </w:r>
    </w:p>
    <w:p w14:paraId="6387DD4C">
      <w:pPr>
        <w:jc w:val="center"/>
        <w:rPr>
          <w:rFonts w:hint="default"/>
          <w:b/>
          <w:lang w:val="ro-RO"/>
        </w:rPr>
      </w:pPr>
      <w:r>
        <w:rPr>
          <w:b/>
          <w:lang w:val="en-US"/>
        </w:rPr>
        <w:t xml:space="preserve">DECIZIE Nr. </w:t>
      </w:r>
      <w:r>
        <w:rPr>
          <w:rFonts w:hint="default"/>
          <w:b/>
          <w:lang w:val="ro-RO"/>
        </w:rPr>
        <w:t>3</w:t>
      </w:r>
      <w:r>
        <w:rPr>
          <w:b/>
          <w:lang w:val="en-US"/>
        </w:rPr>
        <w:t>/</w:t>
      </w:r>
      <w:r>
        <w:rPr>
          <w:rFonts w:hint="default"/>
          <w:b/>
          <w:lang w:val="ro-RO"/>
        </w:rPr>
        <w:t>16</w:t>
      </w:r>
    </w:p>
    <w:p w14:paraId="588547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>
        <w:rPr>
          <w:rFonts w:hint="default"/>
          <w:b/>
          <w:lang w:val="ro-RO"/>
        </w:rPr>
        <w:t>05</w:t>
      </w:r>
      <w:r>
        <w:rPr>
          <w:b/>
          <w:lang w:val="en-US"/>
        </w:rPr>
        <w:t xml:space="preserve"> </w:t>
      </w:r>
      <w:r>
        <w:rPr>
          <w:rFonts w:hint="default"/>
          <w:b/>
          <w:lang w:val="ro-RO"/>
        </w:rPr>
        <w:t>iunie</w:t>
      </w:r>
      <w:r>
        <w:rPr>
          <w:b/>
          <w:lang w:val="en-US"/>
        </w:rPr>
        <w:t xml:space="preserve"> 2026</w:t>
      </w:r>
    </w:p>
    <w:p w14:paraId="0C16A3E6">
      <w:pPr>
        <w:jc w:val="center"/>
        <w:rPr>
          <w:b/>
          <w:lang w:val="en-US"/>
        </w:rPr>
      </w:pPr>
      <w:r>
        <w:rPr>
          <w:b/>
          <w:lang w:val="en-US"/>
        </w:rPr>
        <w:t>or. Sîngerei</w:t>
      </w:r>
    </w:p>
    <w:p w14:paraId="7E244087">
      <w:pPr>
        <w:tabs>
          <w:tab w:val="left" w:pos="709"/>
        </w:tabs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</w:p>
    <w:p w14:paraId="3EC03853">
      <w:pPr>
        <w:outlineLvl w:val="0"/>
        <w:rPr>
          <w:b/>
        </w:rPr>
      </w:pPr>
      <w:r>
        <w:rPr>
          <w:b/>
        </w:rPr>
        <w:t>Cu privire la transmiterea cu titlu gratuit a activelor (mese de șah), proprietate publică</w:t>
      </w:r>
    </w:p>
    <w:p w14:paraId="6E00CDB2">
      <w:pPr>
        <w:outlineLvl w:val="0"/>
        <w:rPr>
          <w:b/>
        </w:rPr>
      </w:pPr>
      <w:r>
        <w:rPr>
          <w:b/>
        </w:rPr>
        <w:t>a raionului, din administrarea IP Gimnaziul ,,Dimitrie Cantemir” din or. Sîngerei în administrarea Direcției Educație (Școala Sportivă ,,Dumitru Atanasov” din or. Sîngerei)</w:t>
      </w:r>
    </w:p>
    <w:p w14:paraId="648A3051">
      <w:pPr>
        <w:jc w:val="center"/>
        <w:outlineLvl w:val="0"/>
        <w:rPr>
          <w:b/>
          <w:color w:val="000000"/>
          <w:sz w:val="16"/>
          <w:szCs w:val="16"/>
        </w:rPr>
      </w:pPr>
    </w:p>
    <w:p w14:paraId="5A6F4FC9">
      <w:pPr>
        <w:spacing w:after="160"/>
        <w:ind w:firstLine="567"/>
        <w:contextualSpacing/>
        <w:jc w:val="both"/>
        <w:rPr>
          <w:bCs/>
        </w:rPr>
      </w:pPr>
      <w:r>
        <w:rPr>
          <w:color w:val="000000"/>
          <w:lang w:val="it-IT"/>
        </w:rPr>
        <w:t xml:space="preserve">Având în vedere: Nota de fundamentare </w:t>
      </w:r>
      <w:r>
        <w:rPr>
          <w:rFonts w:hint="default"/>
          <w:color w:val="000000"/>
          <w:lang w:val="ro-RO"/>
        </w:rPr>
        <w:t>c</w:t>
      </w:r>
      <w:r>
        <w:rPr>
          <w:bCs/>
        </w:rPr>
        <w:t>u privire la transmiterea cu titlu gratuit a activelor (mese de șah), proprietate public</w:t>
      </w:r>
      <w:r>
        <w:rPr>
          <w:bCs/>
          <w:lang w:val="ro-RO"/>
        </w:rPr>
        <w:t>ă</w:t>
      </w:r>
      <w:r>
        <w:rPr>
          <w:bCs/>
        </w:rPr>
        <w:t xml:space="preserve"> a raionului, din administrarea IP Gimnaziul ,,Dimitrie Cantemir” din or. Sîngerei în administrarea Direcției Educație (Școala Sportivă ,,Dumitru Atanasov” din or. Sîngerei);</w:t>
      </w:r>
    </w:p>
    <w:p w14:paraId="2DA4050B">
      <w:pPr>
        <w:spacing w:after="160"/>
        <w:ind w:firstLine="567"/>
        <w:contextualSpacing/>
        <w:jc w:val="both"/>
        <w:rPr>
          <w:bCs/>
          <w:lang w:val="ro-RO"/>
        </w:rPr>
      </w:pPr>
      <w:r>
        <w:rPr>
          <w:lang w:val="ro-RO"/>
        </w:rPr>
        <w:t xml:space="preserve">În </w:t>
      </w:r>
      <w:r>
        <w:rPr>
          <w:lang w:val="it-IT"/>
        </w:rPr>
        <w:t xml:space="preserve">temeiul </w:t>
      </w:r>
      <w:r>
        <w:rPr>
          <w:lang w:val="en-US"/>
        </w:rPr>
        <w:t xml:space="preserve">prevederilor art. 43 alin. (1) lit. c) al Legii privind administraţia publică locală nr. 436/2006, Legii nr. 523/1999 cu privire la </w:t>
      </w:r>
      <w:r>
        <w:t>proprietatea publică a unităților administrativ-teritoriale</w:t>
      </w:r>
      <w:r>
        <w:rPr>
          <w:lang w:val="en-US"/>
        </w:rPr>
        <w:t>, Legii nr. 121/2017 privind administrarea și deetatizarea prpprietații publice, Legii contabilității nr. 113/2007, Legii cu priviere la actele normative nr. 100/2017, Regulamentului cu privire la modul de transmitere a bunurilor proprietate publică, aprobat prin Hotărârea Guvernului nr. 901/2015, Instrucțiunii cu privire la aprobarea planului de conturi contabile în sistemul bugetar și normelor metodologice privind evidența contabilă în sistemul bugetar, aprobată prin Ordinul Ministerului Finanțelor nr. 216/2015</w:t>
      </w:r>
      <w:r>
        <w:rPr>
          <w:rStyle w:val="26"/>
          <w:bCs/>
          <w:lang w:val="en-US"/>
        </w:rPr>
        <w:t xml:space="preserve">, </w:t>
      </w:r>
    </w:p>
    <w:p w14:paraId="20E3262F">
      <w:pPr>
        <w:ind w:firstLine="567"/>
        <w:jc w:val="both"/>
        <w:rPr>
          <w:lang w:val="it-IT"/>
        </w:rPr>
      </w:pPr>
      <w:r>
        <w:rPr>
          <w:b/>
          <w:lang w:val="it-IT"/>
        </w:rPr>
        <w:t>Consiliul raional</w:t>
      </w:r>
      <w:r>
        <w:rPr>
          <w:lang w:val="it-IT"/>
        </w:rPr>
        <w:t xml:space="preserve">; </w:t>
      </w:r>
    </w:p>
    <w:p w14:paraId="16982912">
      <w:pPr>
        <w:tabs>
          <w:tab w:val="left" w:pos="3690"/>
          <w:tab w:val="center" w:pos="4860"/>
        </w:tabs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 xml:space="preserve">      D E C I D E:</w:t>
      </w:r>
    </w:p>
    <w:p w14:paraId="14BC49B9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lang w:val="ro-RO"/>
        </w:rPr>
      </w:pPr>
      <w:r>
        <w:rPr>
          <w:lang w:val="ro-RO"/>
        </w:rPr>
        <w:t>Se transmit cu titlu gratuit, cu acordul I.P. Gimnaziul ,,Dimitrie Cantemir” din or. Sîngerei, activele (mese de șah) proprietate publică a raionului, din administrarea instituției menționate în administrarea Direcției Educație (Școala Sportivă ,,Dumitru Atanasov” din or. Sîngerei), în sumă totală de 23010,00 lei, conform Anexei nr. 1.</w:t>
      </w:r>
    </w:p>
    <w:p w14:paraId="740314D3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lang w:val="ro-RO"/>
        </w:rPr>
      </w:pPr>
      <w:r>
        <w:rPr>
          <w:lang w:val="ro-RO"/>
        </w:rPr>
        <w:t>Se instituie comisia de transmitere -primire a activelor în următoarea componență:   Melinte Nicolae – Președintele comisiei Șef Direcție Educație,</w:t>
      </w:r>
    </w:p>
    <w:p w14:paraId="272A6B51">
      <w:pPr>
        <w:tabs>
          <w:tab w:val="left" w:pos="709"/>
          <w:tab w:val="left" w:pos="851"/>
        </w:tabs>
        <w:ind w:left="567"/>
        <w:jc w:val="both"/>
        <w:rPr>
          <w:i/>
          <w:iCs/>
          <w:lang w:val="ro-RO"/>
        </w:rPr>
      </w:pPr>
      <w:r>
        <w:rPr>
          <w:lang w:val="ro-RO"/>
        </w:rPr>
        <w:t xml:space="preserve">      </w:t>
      </w:r>
      <w:r>
        <w:rPr>
          <w:i/>
          <w:iCs/>
          <w:lang w:val="ro-RO"/>
        </w:rPr>
        <w:t>Membrii comisiei:</w:t>
      </w:r>
    </w:p>
    <w:p w14:paraId="3899A5D2">
      <w:pPr>
        <w:tabs>
          <w:tab w:val="left" w:pos="709"/>
          <w:tab w:val="left" w:pos="851"/>
        </w:tabs>
        <w:jc w:val="both"/>
        <w:rPr>
          <w:lang w:val="ro-RO"/>
        </w:rPr>
      </w:pPr>
      <w:r>
        <w:rPr>
          <w:lang w:val="ro-RO"/>
        </w:rPr>
        <w:t xml:space="preserve">Mițîc Roman      - Director  </w:t>
      </w:r>
      <w:r>
        <w:t>Școala Sportivă ,,Dumitru Atanasov”</w:t>
      </w:r>
      <w:r>
        <w:rPr>
          <w:lang w:val="ro-RO"/>
        </w:rPr>
        <w:t>,</w:t>
      </w:r>
    </w:p>
    <w:p w14:paraId="025D09E6">
      <w:pPr>
        <w:tabs>
          <w:tab w:val="left" w:pos="709"/>
          <w:tab w:val="left" w:pos="851"/>
        </w:tabs>
        <w:jc w:val="both"/>
        <w:rPr>
          <w:lang w:val="ro-RO"/>
        </w:rPr>
      </w:pPr>
      <w:r>
        <w:rPr>
          <w:lang w:val="ro-RO"/>
        </w:rPr>
        <w:t>Chira Svetlana    - Contabilă -șefă Direcția Educație,</w:t>
      </w:r>
    </w:p>
    <w:p w14:paraId="77A4FFAC">
      <w:pPr>
        <w:tabs>
          <w:tab w:val="left" w:pos="709"/>
          <w:tab w:val="left" w:pos="851"/>
        </w:tabs>
        <w:jc w:val="both"/>
        <w:rPr>
          <w:lang w:val="ro-RO"/>
        </w:rPr>
      </w:pPr>
      <w:r>
        <w:rPr>
          <w:lang w:val="ro-RO"/>
        </w:rPr>
        <w:t>Cazacu Anastasia - Directoare</w:t>
      </w:r>
      <w:r>
        <w:t xml:space="preserve"> IP Gimnaziul ,,Dimitrie Cantemir”,</w:t>
      </w:r>
    </w:p>
    <w:p w14:paraId="742DD377">
      <w:pPr>
        <w:tabs>
          <w:tab w:val="left" w:pos="709"/>
          <w:tab w:val="left" w:pos="851"/>
        </w:tabs>
        <w:jc w:val="both"/>
        <w:rPr>
          <w:lang w:val="ro-RO"/>
        </w:rPr>
      </w:pPr>
      <w:r>
        <w:rPr>
          <w:lang w:val="ro-RO"/>
        </w:rPr>
        <w:t xml:space="preserve">Crihan Eudochia   - Contabilă- șefă  </w:t>
      </w:r>
      <w:r>
        <w:t>IP Gimnaziul ,,Dimitrie Cantemir”.</w:t>
      </w:r>
    </w:p>
    <w:p w14:paraId="7113E3CA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rPr>
          <w:lang w:val="ro-RO"/>
        </w:rPr>
      </w:pPr>
      <w:r>
        <w:t>Comisia de transmitere-primire ( dl. Melinte Nicolae) va asigura întocmirea actelor de transmitere-primire a activelor și documentelor confirmative în termen de 30 zile lucrătoare.</w:t>
      </w:r>
    </w:p>
    <w:p w14:paraId="2E2A19D0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color w:val="000000"/>
          <w:lang w:val="it-IT"/>
        </w:rPr>
      </w:pPr>
      <w:r>
        <w:rPr>
          <w:lang w:val="ro-RO"/>
        </w:rPr>
        <w:t xml:space="preserve">Controlul asupra realizării prezentei </w:t>
      </w:r>
      <w:r>
        <w:rPr>
          <w:color w:val="000000"/>
          <w:lang w:val="ro-RO"/>
        </w:rPr>
        <w:t xml:space="preserve">decizii se pune în sarcina </w:t>
      </w:r>
      <w:r>
        <w:rPr>
          <w:color w:val="000000"/>
          <w:lang w:val="en-US"/>
        </w:rPr>
        <w:t xml:space="preserve">Comisiei consultative pentru Învățăînt, cultură, sport, tineret, ocrotirea sănătății, problemele sociale, turizm și culte </w:t>
      </w:r>
      <w:r>
        <w:rPr>
          <w:color w:val="000000"/>
          <w:lang w:val="ro-RO"/>
        </w:rPr>
        <w:t xml:space="preserve">(dna. A. TABARCEA). </w:t>
      </w:r>
      <w:r>
        <w:rPr>
          <w:color w:val="000000"/>
          <w:lang w:val="it-IT"/>
        </w:rPr>
        <w:t xml:space="preserve"> </w:t>
      </w:r>
    </w:p>
    <w:p w14:paraId="6866C6C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color w:val="000000"/>
          <w:lang w:val="ro-RO"/>
        </w:rPr>
      </w:pPr>
      <w:r>
        <w:rPr>
          <w:color w:val="000000"/>
          <w:lang w:val="it-IT"/>
        </w:rPr>
        <w:t>Prezenta decizie poate fi contestată la Judecătoria Bălți,</w:t>
      </w:r>
      <w:r>
        <w:rPr>
          <w:color w:val="000000"/>
          <w:lang w:val="ro-RO"/>
        </w:rPr>
        <w:t xml:space="preserve"> (sediul Central, str. Hotinului, nr. 43) în termen de 30 zile de la data publicării, potrivit prevederilor Codului Administrativ al Republicii Moldova nr. 116/2018.</w:t>
      </w:r>
    </w:p>
    <w:p w14:paraId="41F4BD55">
      <w:pPr>
        <w:spacing w:line="240" w:lineRule="auto"/>
        <w:jc w:val="both"/>
        <w:rPr>
          <w:rFonts w:eastAsia="Calibri"/>
          <w:b/>
          <w:lang w:val="it-IT"/>
        </w:rPr>
      </w:pPr>
    </w:p>
    <w:p w14:paraId="1D0AC118">
      <w:pPr>
        <w:spacing w:line="240" w:lineRule="auto"/>
        <w:jc w:val="both"/>
        <w:rPr>
          <w:rFonts w:hint="default"/>
          <w:lang w:val="ro-RO"/>
        </w:rPr>
      </w:pPr>
      <w:r>
        <w:rPr>
          <w:rFonts w:eastAsia="Calibri"/>
          <w:b/>
          <w:lang w:val="it-IT"/>
        </w:rPr>
        <w:t>Preşedint</w:t>
      </w:r>
      <w:r>
        <w:rPr>
          <w:rFonts w:hint="default" w:eastAsia="Calibri"/>
          <w:b/>
          <w:lang w:val="ro-RO"/>
        </w:rPr>
        <w:t>a</w:t>
      </w:r>
      <w:r>
        <w:rPr>
          <w:rFonts w:eastAsia="Calibri"/>
          <w:b/>
          <w:lang w:val="it-IT"/>
        </w:rPr>
        <w:t xml:space="preserve"> şedinţei</w:t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 xml:space="preserve">                                                                                   </w:t>
      </w:r>
      <w:r>
        <w:rPr>
          <w:rFonts w:hint="default" w:eastAsia="Calibri"/>
          <w:b/>
          <w:lang w:val="ro-RO"/>
        </w:rPr>
        <w:t>Oxana BONTEA</w:t>
      </w:r>
    </w:p>
    <w:p w14:paraId="409E695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8B9E2E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CONTRASEMNAT:</w:t>
      </w:r>
    </w:p>
    <w:p w14:paraId="5F4341F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 xml:space="preserve">Secretara interimară a Consiliului raional                                                    </w:t>
      </w:r>
      <w:r>
        <w:rPr>
          <w:rFonts w:hint="default" w:eastAsia="Calibri"/>
          <w:b/>
          <w:lang w:val="ro-RO"/>
        </w:rPr>
        <w:t xml:space="preserve"> </w:t>
      </w:r>
      <w:r>
        <w:rPr>
          <w:rFonts w:eastAsia="Calibri"/>
          <w:b/>
          <w:lang w:val="it-IT"/>
        </w:rPr>
        <w:t xml:space="preserve"> Angela MIHALIUC</w:t>
      </w:r>
    </w:p>
    <w:p w14:paraId="262DF111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5DFCD95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Conform originalului </w:t>
      </w:r>
    </w:p>
    <w:p w14:paraId="68593433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b/>
          <w:lang w:val="en-US"/>
        </w:rPr>
        <w:t>Secretară interimară a Consiliului raional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             Angela MIHALIUC</w:t>
      </w:r>
    </w:p>
    <w:p w14:paraId="48545536">
      <w:pPr>
        <w:jc w:val="right"/>
        <w:rPr>
          <w:color w:val="000000"/>
          <w:sz w:val="18"/>
          <w:szCs w:val="18"/>
          <w:lang w:val="it-IT"/>
        </w:rPr>
      </w:pPr>
      <w:r>
        <w:rPr>
          <w:color w:val="000000"/>
          <w:sz w:val="18"/>
          <w:szCs w:val="18"/>
          <w:lang w:val="it-IT"/>
        </w:rPr>
        <w:t xml:space="preserve"> Anexa nr.</w:t>
      </w:r>
      <w:r>
        <w:rPr>
          <w:rFonts w:hint="default"/>
          <w:color w:val="000000"/>
          <w:sz w:val="18"/>
          <w:szCs w:val="18"/>
          <w:lang w:val="ro-RO"/>
        </w:rPr>
        <w:t xml:space="preserve"> </w:t>
      </w:r>
      <w:r>
        <w:rPr>
          <w:color w:val="000000"/>
          <w:sz w:val="18"/>
          <w:szCs w:val="18"/>
          <w:lang w:val="it-IT"/>
        </w:rPr>
        <w:t>1</w:t>
      </w:r>
    </w:p>
    <w:p w14:paraId="3C5AEF7C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val="it-IT"/>
        </w:rPr>
      </w:pPr>
      <w:r>
        <w:rPr>
          <w:color w:val="000000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la </w:t>
      </w:r>
      <w:r>
        <w:rPr>
          <w:rFonts w:hint="default"/>
          <w:color w:val="000000"/>
          <w:sz w:val="18"/>
          <w:szCs w:val="18"/>
          <w:lang w:val="ro-RO"/>
        </w:rPr>
        <w:t>D</w:t>
      </w:r>
      <w:r>
        <w:rPr>
          <w:color w:val="000000"/>
          <w:sz w:val="18"/>
          <w:szCs w:val="18"/>
          <w:lang w:val="it-IT"/>
        </w:rPr>
        <w:t xml:space="preserve">ecizia Consiliului  raional                                                                                                                                                                      </w:t>
      </w:r>
    </w:p>
    <w:p w14:paraId="63CEB286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val="it-IT"/>
        </w:rPr>
      </w:pPr>
      <w:r>
        <w:rPr>
          <w:color w:val="000000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nr. </w:t>
      </w:r>
      <w:r>
        <w:rPr>
          <w:color w:val="000000"/>
          <w:sz w:val="18"/>
          <w:szCs w:val="18"/>
          <w:lang w:val="en-US"/>
        </w:rPr>
        <w:t>_</w:t>
      </w:r>
      <w:r>
        <w:rPr>
          <w:rFonts w:hint="default"/>
          <w:color w:val="000000"/>
          <w:sz w:val="18"/>
          <w:szCs w:val="18"/>
          <w:u w:val="single"/>
          <w:lang w:val="ro-RO"/>
        </w:rPr>
        <w:t>3/16</w:t>
      </w:r>
      <w:r>
        <w:rPr>
          <w:color w:val="000000"/>
          <w:sz w:val="18"/>
          <w:szCs w:val="18"/>
          <w:lang w:val="en-US"/>
        </w:rPr>
        <w:t xml:space="preserve">__ </w:t>
      </w:r>
      <w:r>
        <w:rPr>
          <w:color w:val="000000"/>
          <w:sz w:val="18"/>
          <w:szCs w:val="18"/>
          <w:lang w:val="it-IT"/>
        </w:rPr>
        <w:t xml:space="preserve"> din</w:t>
      </w:r>
      <w:r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  <w:lang w:val="ro-RO"/>
        </w:rPr>
        <w:t>_</w:t>
      </w:r>
      <w:r>
        <w:rPr>
          <w:rFonts w:hint="default"/>
          <w:color w:val="000000"/>
          <w:sz w:val="18"/>
          <w:szCs w:val="18"/>
          <w:u w:val="single"/>
          <w:lang w:val="ro-RO"/>
        </w:rPr>
        <w:t>05 iunie</w:t>
      </w:r>
      <w:r>
        <w:rPr>
          <w:color w:val="000000"/>
          <w:sz w:val="18"/>
          <w:szCs w:val="18"/>
          <w:lang w:val="ro-RO"/>
        </w:rPr>
        <w:t>_</w:t>
      </w:r>
      <w:r>
        <w:rPr>
          <w:color w:val="000000"/>
          <w:sz w:val="18"/>
          <w:szCs w:val="18"/>
          <w:lang w:val="it-IT"/>
        </w:rPr>
        <w:t xml:space="preserve"> 2026</w:t>
      </w:r>
    </w:p>
    <w:p w14:paraId="2A896746">
      <w:pPr>
        <w:autoSpaceDE w:val="0"/>
        <w:autoSpaceDN w:val="0"/>
        <w:adjustRightInd w:val="0"/>
        <w:jc w:val="right"/>
        <w:rPr>
          <w:color w:val="000000"/>
          <w:sz w:val="16"/>
          <w:szCs w:val="16"/>
          <w:lang w:val="en-US"/>
        </w:rPr>
      </w:pPr>
    </w:p>
    <w:p w14:paraId="0BD8BF32">
      <w:pPr>
        <w:tabs>
          <w:tab w:val="left" w:pos="13485"/>
        </w:tabs>
        <w:ind w:left="6465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ab/>
      </w:r>
    </w:p>
    <w:p w14:paraId="364C9D65">
      <w:pPr>
        <w:tabs>
          <w:tab w:val="left" w:pos="8700"/>
          <w:tab w:val="right" w:pos="9720"/>
        </w:tabs>
        <w:ind w:left="6465"/>
        <w:rPr>
          <w:b/>
          <w:bCs/>
          <w:sz w:val="20"/>
          <w:szCs w:val="20"/>
          <w:lang w:val="ro-RO"/>
        </w:rPr>
      </w:pPr>
      <w:r>
        <w:rPr>
          <w:sz w:val="16"/>
          <w:szCs w:val="16"/>
          <w:lang w:val="ro-RO"/>
        </w:rPr>
        <w:tab/>
      </w:r>
    </w:p>
    <w:p w14:paraId="7C842ED6">
      <w:pPr>
        <w:rPr>
          <w:szCs w:val="36"/>
          <w:lang w:val="ro-RO"/>
        </w:rPr>
      </w:pPr>
    </w:p>
    <w:p w14:paraId="75E879AF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215A9A6E">
      <w:pPr>
        <w:rPr>
          <w:sz w:val="18"/>
          <w:szCs w:val="18"/>
          <w:lang w:val="en-US"/>
        </w:rPr>
      </w:pPr>
    </w:p>
    <w:p w14:paraId="4997F56A">
      <w:pPr>
        <w:tabs>
          <w:tab w:val="left" w:pos="1530"/>
          <w:tab w:val="center" w:pos="5032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LISTA</w:t>
      </w:r>
    </w:p>
    <w:p w14:paraId="5A7E86EB">
      <w:pPr>
        <w:tabs>
          <w:tab w:val="left" w:pos="1530"/>
          <w:tab w:val="center" w:pos="5032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MIJLOACELOR FIXE TRANSMISE/PRIMITE</w:t>
      </w:r>
    </w:p>
    <w:p w14:paraId="7AC6E1D3">
      <w:pPr>
        <w:tabs>
          <w:tab w:val="left" w:pos="1530"/>
          <w:tab w:val="center" w:pos="5032"/>
        </w:tabs>
        <w:rPr>
          <w:b/>
          <w:sz w:val="24"/>
          <w:szCs w:val="24"/>
          <w:lang w:val="ro-RO"/>
        </w:rPr>
      </w:pPr>
    </w:p>
    <w:tbl>
      <w:tblPr>
        <w:tblStyle w:val="7"/>
        <w:tblW w:w="10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28"/>
        <w:gridCol w:w="1518"/>
        <w:gridCol w:w="855"/>
        <w:gridCol w:w="1150"/>
        <w:gridCol w:w="839"/>
        <w:gridCol w:w="1287"/>
        <w:gridCol w:w="1276"/>
        <w:gridCol w:w="1187"/>
      </w:tblGrid>
      <w:tr w14:paraId="5BD8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2B6C5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</w:t>
            </w:r>
            <w:r>
              <w:rPr>
                <w:sz w:val="22"/>
                <w:szCs w:val="22"/>
                <w:lang w:val="ro-RO"/>
              </w:rPr>
              <w:t xml:space="preserve">                 </w:t>
            </w:r>
          </w:p>
          <w:p w14:paraId="086D15C9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d/o</w:t>
            </w:r>
          </w:p>
          <w:p w14:paraId="64DE98FE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BF469">
            <w:pPr>
              <w:ind w:left="-108" w:right="-108"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Denumirea bunului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66EEA">
            <w:pPr>
              <w:ind w:left="-108" w:right="-108"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Numărul de inventar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D3B24">
            <w:pPr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Anul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9A2AC">
            <w:pPr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Unitatea de măsură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A8A47">
            <w:pPr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Prețul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9B9C7">
            <w:pPr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Cantitatea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4305E">
            <w:pPr>
              <w:jc w:val="left"/>
              <w:rPr>
                <w:rFonts w:hint="default"/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</w:t>
            </w:r>
            <w:r>
              <w:rPr>
                <w:rFonts w:hint="default"/>
                <w:b/>
                <w:sz w:val="22"/>
                <w:szCs w:val="22"/>
                <w:lang w:val="ro-RO"/>
              </w:rPr>
              <w:t xml:space="preserve"> (lei)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A8502">
            <w:pPr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Valoarea uzurii calculată (lei)</w:t>
            </w:r>
          </w:p>
        </w:tc>
      </w:tr>
      <w:tr w14:paraId="54D1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0483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0E84C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Mese de șah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AED1F">
            <w:pPr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3161100026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CD42E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A429C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Buc.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5F447">
            <w:pPr>
              <w:jc w:val="left"/>
              <w:rPr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9006E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6 mese </w:t>
            </w:r>
            <w:r>
              <w:rPr>
                <w:rFonts w:hint="default"/>
                <w:sz w:val="24"/>
                <w:szCs w:val="24"/>
                <w:lang w:val="ro-RO"/>
              </w:rPr>
              <w:t xml:space="preserve">de </w:t>
            </w:r>
            <w:r>
              <w:rPr>
                <w:sz w:val="24"/>
                <w:szCs w:val="24"/>
                <w:lang w:val="ro-RO"/>
              </w:rPr>
              <w:t>șah cu 2 locuri și 3 mese cu 1 loc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9FDC8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23010,00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09836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4602,00</w:t>
            </w:r>
          </w:p>
        </w:tc>
      </w:tr>
      <w:tr w14:paraId="4E17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8A46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31111">
            <w:pPr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 O T A L :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62459">
            <w:pPr>
              <w:jc w:val="left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4BB6F">
            <w:pPr>
              <w:ind w:right="-108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028DA">
            <w:pPr>
              <w:ind w:right="-108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E845E">
            <w:pPr>
              <w:ind w:right="-108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F830E">
            <w:pPr>
              <w:ind w:right="-108"/>
              <w:jc w:val="left"/>
              <w:rPr>
                <w:rFonts w:hint="default"/>
                <w:sz w:val="24"/>
                <w:szCs w:val="24"/>
                <w:lang w:val="ro-RO"/>
              </w:rPr>
            </w:pPr>
            <w:r>
              <w:rPr>
                <w:rFonts w:hint="default"/>
                <w:sz w:val="24"/>
                <w:szCs w:val="24"/>
                <w:lang w:val="ro-RO"/>
              </w:rPr>
              <w:t>9 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D6E0C">
            <w:pPr>
              <w:ind w:right="-108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23010,00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632FE">
            <w:pPr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4602,00</w:t>
            </w:r>
          </w:p>
        </w:tc>
      </w:tr>
    </w:tbl>
    <w:p w14:paraId="2BF7595F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            </w:t>
      </w:r>
    </w:p>
    <w:p w14:paraId="1529C65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sectPr>
      <w:pgSz w:w="11906" w:h="16838"/>
      <w:pgMar w:top="567" w:right="851" w:bottom="567" w:left="1418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57C6"/>
    <w:multiLevelType w:val="multilevel"/>
    <w:tmpl w:val="576457C6"/>
    <w:lvl w:ilvl="0" w:tentative="0">
      <w:start w:val="1"/>
      <w:numFmt w:val="decimal"/>
      <w:lvlText w:val="%1."/>
      <w:lvlJc w:val="left"/>
      <w:pPr>
        <w:ind w:left="1305" w:hanging="825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60" w:hanging="360"/>
      </w:pPr>
    </w:lvl>
    <w:lvl w:ilvl="2" w:tentative="0">
      <w:start w:val="1"/>
      <w:numFmt w:val="lowerRoman"/>
      <w:lvlText w:val="%3."/>
      <w:lvlJc w:val="right"/>
      <w:pPr>
        <w:ind w:left="2280" w:hanging="180"/>
      </w:pPr>
    </w:lvl>
    <w:lvl w:ilvl="3" w:tentative="0">
      <w:start w:val="1"/>
      <w:numFmt w:val="decimal"/>
      <w:lvlText w:val="%4."/>
      <w:lvlJc w:val="left"/>
      <w:pPr>
        <w:ind w:left="3000" w:hanging="360"/>
      </w:pPr>
    </w:lvl>
    <w:lvl w:ilvl="4" w:tentative="0">
      <w:start w:val="1"/>
      <w:numFmt w:val="lowerLetter"/>
      <w:lvlText w:val="%5."/>
      <w:lvlJc w:val="left"/>
      <w:pPr>
        <w:ind w:left="3720" w:hanging="360"/>
      </w:pPr>
    </w:lvl>
    <w:lvl w:ilvl="5" w:tentative="0">
      <w:start w:val="1"/>
      <w:numFmt w:val="lowerRoman"/>
      <w:lvlText w:val="%6."/>
      <w:lvlJc w:val="right"/>
      <w:pPr>
        <w:ind w:left="4440" w:hanging="180"/>
      </w:pPr>
    </w:lvl>
    <w:lvl w:ilvl="6" w:tentative="0">
      <w:start w:val="1"/>
      <w:numFmt w:val="decimal"/>
      <w:lvlText w:val="%7."/>
      <w:lvlJc w:val="left"/>
      <w:pPr>
        <w:ind w:left="5160" w:hanging="360"/>
      </w:pPr>
    </w:lvl>
    <w:lvl w:ilvl="7" w:tentative="0">
      <w:start w:val="1"/>
      <w:numFmt w:val="lowerLetter"/>
      <w:lvlText w:val="%8."/>
      <w:lvlJc w:val="left"/>
      <w:pPr>
        <w:ind w:left="5880" w:hanging="360"/>
      </w:pPr>
    </w:lvl>
    <w:lvl w:ilvl="8" w:tentative="0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  <w:rsid w:val="147963E8"/>
    <w:rsid w:val="207B683C"/>
    <w:rsid w:val="29092693"/>
    <w:rsid w:val="2FF70329"/>
    <w:rsid w:val="38316E8E"/>
    <w:rsid w:val="3E5944A7"/>
    <w:rsid w:val="499E6C57"/>
    <w:rsid w:val="4B336EF6"/>
    <w:rsid w:val="4D2A7EFB"/>
    <w:rsid w:val="693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outlineLvl w:val="0"/>
    </w:pPr>
    <w:rPr>
      <w:b/>
      <w:sz w:val="28"/>
      <w:szCs w:val="20"/>
      <w:lang w:val="en-US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8"/>
    <w:basedOn w:val="1"/>
    <w:next w:val="1"/>
    <w:link w:val="46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Plain Text"/>
    <w:basedOn w:val="1"/>
    <w:link w:val="45"/>
    <w:qFormat/>
    <w:uiPriority w:val="0"/>
    <w:rPr>
      <w:rFonts w:ascii="Courier New" w:hAnsi="Courier New"/>
      <w:sz w:val="20"/>
      <w:szCs w:val="20"/>
    </w:rPr>
  </w:style>
  <w:style w:type="paragraph" w:styleId="14">
    <w:name w:val="annotation text"/>
    <w:basedOn w:val="1"/>
    <w:link w:val="33"/>
    <w:semiHidden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6">
    <w:name w:val="Body Text Indent"/>
    <w:basedOn w:val="1"/>
    <w:link w:val="35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link w:val="37"/>
    <w:qFormat/>
    <w:uiPriority w:val="0"/>
    <w:pPr>
      <w:jc w:val="center"/>
    </w:pPr>
    <w:rPr>
      <w:b/>
      <w:szCs w:val="20"/>
      <w:lang w:val="ro-RO"/>
    </w:rPr>
  </w:style>
  <w:style w:type="paragraph" w:styleId="18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ro-RO" w:eastAsia="ro-RO"/>
    </w:rPr>
  </w:style>
  <w:style w:type="paragraph" w:styleId="19">
    <w:name w:val="Body Text 3"/>
    <w:basedOn w:val="1"/>
    <w:link w:val="29"/>
    <w:unhideWhenUsed/>
    <w:qFormat/>
    <w:uiPriority w:val="0"/>
    <w:rPr>
      <w:b/>
      <w:szCs w:val="20"/>
      <w:lang w:val="ro-RO"/>
    </w:rPr>
  </w:style>
  <w:style w:type="table" w:styleId="20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22">
    <w:name w:val="List Paragraph"/>
    <w:basedOn w:val="1"/>
    <w:link w:val="31"/>
    <w:qFormat/>
    <w:uiPriority w:val="1"/>
    <w:pPr>
      <w:ind w:left="708"/>
    </w:p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4">
    <w:name w:val="Текст выноски Знак"/>
    <w:basedOn w:val="6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6">
    <w:name w:val="doc_header"/>
    <w:basedOn w:val="6"/>
    <w:qFormat/>
    <w:uiPriority w:val="0"/>
  </w:style>
  <w:style w:type="character" w:customStyle="1" w:styleId="27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28">
    <w:name w:val="Font Style26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3 Знак"/>
    <w:basedOn w:val="6"/>
    <w:link w:val="19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30">
    <w:name w:val="apple-converted-space"/>
    <w:basedOn w:val="6"/>
    <w:qFormat/>
    <w:uiPriority w:val="0"/>
  </w:style>
  <w:style w:type="character" w:customStyle="1" w:styleId="31">
    <w:name w:val="Абзац списка Знак"/>
    <w:basedOn w:val="6"/>
    <w:link w:val="22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3">
    <w:name w:val="Текст примечания Знак"/>
    <w:basedOn w:val="6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markedcontent"/>
    <w:basedOn w:val="6"/>
    <w:qFormat/>
    <w:uiPriority w:val="0"/>
  </w:style>
  <w:style w:type="character" w:customStyle="1" w:styleId="35">
    <w:name w:val="Основной текст с отступом Знак"/>
    <w:basedOn w:val="6"/>
    <w:link w:val="1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37">
    <w:name w:val="Название Знак"/>
    <w:basedOn w:val="6"/>
    <w:link w:val="17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paragraph" w:customStyle="1" w:styleId="38">
    <w:name w:val="Без интервала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0">
    <w:name w:val="Основной текст Знак"/>
    <w:basedOn w:val="6"/>
    <w:link w:val="1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41">
    <w:name w:val="Сетка таблицы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character" w:customStyle="1" w:styleId="45">
    <w:name w:val="Текст Знак"/>
    <w:basedOn w:val="6"/>
    <w:link w:val="13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6">
    <w:name w:val="Заголовок 8 Знак"/>
    <w:basedOn w:val="6"/>
    <w:link w:val="5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788E-8D5F-449C-9B8E-3FF9BD1A6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460</Words>
  <Characters>2846</Characters>
  <Lines>18</Lines>
  <Paragraphs>5</Paragraphs>
  <TotalTime>2</TotalTime>
  <ScaleCrop>false</ScaleCrop>
  <LinksUpToDate>false</LinksUpToDate>
  <CharactersWithSpaces>3918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2026-03-30T12:25:00Z</dcterms:created>
  <dc:creator>user</dc:creator>
  <cp:lastModifiedBy>Iulian Erimei</cp:lastModifiedBy>
  <cp:lastPrinted>2025-11-03T06:27:00Z</cp:lastPrinted>
  <dcterms:modified xsi:type="dcterms:W3CDTF">2026-06-09T12:56:44Z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AA64253DE4FB433C9AB2C55CA36C002C_13</vt:lpwstr>
  </property>
</Properties>
</file>