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06256488">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23</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4EC7045E">
      <w:pPr>
        <w:rPr>
          <w:b/>
          <w:lang w:val="ro-RO"/>
        </w:rPr>
      </w:pPr>
    </w:p>
    <w:p w14:paraId="0AE965EF">
      <w:pPr>
        <w:keepNext w:val="0"/>
        <w:keepLines w:val="0"/>
        <w:pageBreakBefore w:val="0"/>
        <w:widowControl/>
        <w:kinsoku/>
        <w:wordWrap/>
        <w:overflowPunct/>
        <w:topLinePunct w:val="0"/>
        <w:autoSpaceDE/>
        <w:autoSpaceDN/>
        <w:bidi w:val="0"/>
        <w:adjustRightInd/>
        <w:snapToGrid w:val="0"/>
        <w:spacing w:line="23" w:lineRule="atLeast"/>
        <w:textAlignment w:val="auto"/>
        <w:rPr>
          <w:b/>
          <w:lang w:val="ro-RO"/>
        </w:rPr>
      </w:pPr>
      <w:r>
        <w:rPr>
          <w:b/>
          <w:lang w:val="ro-RO"/>
        </w:rPr>
        <w:t xml:space="preserve">Cu privire la acordarea premiului personalului </w:t>
      </w:r>
    </w:p>
    <w:p w14:paraId="5C8EF2A4">
      <w:pPr>
        <w:keepNext w:val="0"/>
        <w:keepLines w:val="0"/>
        <w:pageBreakBefore w:val="0"/>
        <w:widowControl/>
        <w:kinsoku/>
        <w:wordWrap/>
        <w:overflowPunct/>
        <w:topLinePunct w:val="0"/>
        <w:autoSpaceDE/>
        <w:autoSpaceDN/>
        <w:bidi w:val="0"/>
        <w:adjustRightInd/>
        <w:snapToGrid w:val="0"/>
        <w:spacing w:line="23" w:lineRule="atLeast"/>
        <w:textAlignment w:val="auto"/>
        <w:rPr>
          <w:b/>
          <w:lang w:val="ro-RO"/>
        </w:rPr>
      </w:pPr>
      <w:r>
        <w:rPr>
          <w:b/>
          <w:lang w:val="ro-RO"/>
        </w:rPr>
        <w:t xml:space="preserve">de conducere din cadrul IMSP „Centre de Sănătate” </w:t>
      </w:r>
    </w:p>
    <w:p w14:paraId="0746BA2E">
      <w:pPr>
        <w:keepNext w:val="0"/>
        <w:keepLines w:val="0"/>
        <w:pageBreakBefore w:val="0"/>
        <w:widowControl/>
        <w:kinsoku/>
        <w:wordWrap/>
        <w:overflowPunct/>
        <w:topLinePunct w:val="0"/>
        <w:autoSpaceDE/>
        <w:autoSpaceDN/>
        <w:bidi w:val="0"/>
        <w:adjustRightInd/>
        <w:snapToGrid w:val="0"/>
        <w:spacing w:line="23" w:lineRule="atLeast"/>
        <w:textAlignment w:val="auto"/>
        <w:rPr>
          <w:b/>
          <w:color w:val="000000"/>
          <w:lang w:val="en-US"/>
        </w:rPr>
      </w:pPr>
      <w:r>
        <w:rPr>
          <w:b/>
          <w:lang w:val="ro-RO"/>
        </w:rPr>
        <w:t>și ÎM „Centrul Stomatologic raional Sîngerei”</w:t>
      </w:r>
    </w:p>
    <w:p w14:paraId="0A22DEE7">
      <w:pPr>
        <w:keepNext w:val="0"/>
        <w:keepLines w:val="0"/>
        <w:pageBreakBefore w:val="0"/>
        <w:widowControl/>
        <w:kinsoku/>
        <w:wordWrap/>
        <w:overflowPunct/>
        <w:topLinePunct w:val="0"/>
        <w:autoSpaceDE/>
        <w:autoSpaceDN/>
        <w:bidi w:val="0"/>
        <w:adjustRightInd/>
        <w:snapToGrid w:val="0"/>
        <w:spacing w:line="23" w:lineRule="atLeast"/>
        <w:textAlignment w:val="auto"/>
        <w:rPr>
          <w:b/>
          <w:lang w:val="en-US"/>
        </w:rPr>
      </w:pPr>
    </w:p>
    <w:p w14:paraId="746FEE78">
      <w:pPr>
        <w:keepNext w:val="0"/>
        <w:keepLines w:val="0"/>
        <w:pageBreakBefore w:val="0"/>
        <w:widowControl/>
        <w:tabs>
          <w:tab w:val="left" w:pos="480"/>
        </w:tabs>
        <w:kinsoku/>
        <w:wordWrap/>
        <w:overflowPunct/>
        <w:topLinePunct w:val="0"/>
        <w:autoSpaceDE/>
        <w:autoSpaceDN/>
        <w:bidi w:val="0"/>
        <w:adjustRightInd/>
        <w:snapToGrid w:val="0"/>
        <w:spacing w:line="23" w:lineRule="atLeast"/>
        <w:jc w:val="both"/>
        <w:textAlignment w:val="auto"/>
        <w:rPr>
          <w:lang w:val="ro-RO"/>
        </w:rPr>
      </w:pPr>
      <w:r>
        <w:rPr>
          <w:lang w:val="en-US"/>
        </w:rPr>
        <w:tab/>
      </w:r>
      <w:r>
        <w:rPr>
          <w:lang w:val="en-US"/>
        </w:rPr>
        <w:t>Având în vedere: Nota de fundamentare „</w:t>
      </w:r>
      <w:r>
        <w:rPr>
          <w:lang w:val="ro-RO"/>
        </w:rPr>
        <w:t>Cu privire la acordarea premiului personalului de conducere din cadrul IMSP „Centre de Sănătate” și ÎM „Centrul Stomatologic raional Sîngerei”</w:t>
      </w:r>
      <w:r>
        <w:rPr>
          <w:bCs/>
          <w:lang w:val="en-US"/>
        </w:rPr>
        <w:t>.</w:t>
      </w:r>
    </w:p>
    <w:p w14:paraId="3A3E6F41">
      <w:pPr>
        <w:keepNext w:val="0"/>
        <w:keepLines w:val="0"/>
        <w:pageBreakBefore w:val="0"/>
        <w:widowControl/>
        <w:tabs>
          <w:tab w:val="left" w:pos="480"/>
        </w:tabs>
        <w:kinsoku/>
        <w:wordWrap/>
        <w:overflowPunct/>
        <w:topLinePunct w:val="0"/>
        <w:autoSpaceDE/>
        <w:autoSpaceDN/>
        <w:bidi w:val="0"/>
        <w:adjustRightInd/>
        <w:snapToGrid w:val="0"/>
        <w:spacing w:line="23" w:lineRule="atLeast"/>
        <w:jc w:val="both"/>
        <w:textAlignment w:val="auto"/>
        <w:rPr>
          <w:lang w:val="en-US" w:eastAsia="en-US"/>
        </w:rPr>
      </w:pPr>
      <w:r>
        <w:rPr>
          <w:rFonts w:eastAsia="Calibri"/>
          <w:bCs/>
          <w:lang w:val="ro-RO" w:eastAsia="en-US"/>
        </w:rPr>
        <w:tab/>
      </w:r>
      <w:r>
        <w:rPr>
          <w:lang w:val="en-US"/>
        </w:rPr>
        <w:t xml:space="preserve">În temeiul </w:t>
      </w:r>
      <w:r>
        <w:rPr>
          <w:lang w:val="ro-RO" w:eastAsia="en-US"/>
        </w:rPr>
        <w:t xml:space="preserve">art. 43 alin. (2) al Legii nr. 436/2006 privind administraţia publică locală, art. 203 alin.(1) lit. b) din Codul Muncii al Republicii Moldova nr. 154/2003, pct. 26 și 30 din Hotărârea Guvernului nr. 837/2016 pentru aprobarea Regulamentului privind salarizarea angajaţilor din instituţiile medico-sanitare publice încadrate în sistemul asigurării obligatorii de asistenţă medicală, </w:t>
      </w:r>
      <w:r>
        <w:rPr>
          <w:lang w:val="ro-RO"/>
        </w:rPr>
        <w:t>şi cu prilejul zilei profesionale „Ziua Lucrătorului medical și a Farmacistului”</w:t>
      </w:r>
      <w:r>
        <w:rPr>
          <w:lang w:val="ro-RO" w:eastAsia="en-US"/>
        </w:rPr>
        <w:t>,</w:t>
      </w:r>
      <w:r>
        <w:rPr>
          <w:lang w:val="en-US" w:eastAsia="en-US"/>
        </w:rPr>
        <w:t xml:space="preserve">            </w:t>
      </w:r>
    </w:p>
    <w:p w14:paraId="7F145F1F">
      <w:pPr>
        <w:keepNext w:val="0"/>
        <w:keepLines w:val="0"/>
        <w:pageBreakBefore w:val="0"/>
        <w:widowControl/>
        <w:tabs>
          <w:tab w:val="left" w:pos="480"/>
        </w:tabs>
        <w:kinsoku/>
        <w:wordWrap/>
        <w:overflowPunct/>
        <w:topLinePunct w:val="0"/>
        <w:autoSpaceDE/>
        <w:autoSpaceDN/>
        <w:bidi w:val="0"/>
        <w:adjustRightInd/>
        <w:snapToGrid w:val="0"/>
        <w:spacing w:line="23" w:lineRule="atLeast"/>
        <w:ind w:left="0" w:leftChars="0" w:firstLine="480" w:firstLineChars="0"/>
        <w:jc w:val="both"/>
        <w:textAlignment w:val="auto"/>
        <w:rPr>
          <w:b/>
          <w:bCs/>
          <w:lang w:val="ro-RO" w:eastAsia="en-US"/>
        </w:rPr>
      </w:pPr>
      <w:r>
        <w:rPr>
          <w:b/>
          <w:bCs/>
          <w:lang w:val="en-US" w:eastAsia="en-US"/>
        </w:rPr>
        <w:t>Consiliul raional,</w:t>
      </w:r>
    </w:p>
    <w:p w14:paraId="479A6163">
      <w:pPr>
        <w:keepNext w:val="0"/>
        <w:keepLines w:val="0"/>
        <w:pageBreakBefore w:val="0"/>
        <w:widowControl/>
        <w:tabs>
          <w:tab w:val="left" w:pos="709"/>
        </w:tabs>
        <w:kinsoku/>
        <w:wordWrap/>
        <w:overflowPunct/>
        <w:topLinePunct w:val="0"/>
        <w:autoSpaceDE/>
        <w:autoSpaceDN/>
        <w:bidi w:val="0"/>
        <w:adjustRightInd/>
        <w:snapToGrid w:val="0"/>
        <w:spacing w:line="23" w:lineRule="atLeast"/>
        <w:jc w:val="center"/>
        <w:textAlignment w:val="auto"/>
        <w:rPr>
          <w:b/>
          <w:bCs/>
          <w:lang w:val="ro-RO"/>
        </w:rPr>
      </w:pPr>
      <w:r>
        <w:rPr>
          <w:b/>
          <w:bCs/>
          <w:lang w:val="ro-RO"/>
        </w:rPr>
        <w:t>DECIDE:</w:t>
      </w:r>
    </w:p>
    <w:p w14:paraId="7E031512">
      <w:pPr>
        <w:pStyle w:val="22"/>
        <w:keepNext w:val="0"/>
        <w:keepLines w:val="0"/>
        <w:pageBreakBefore w:val="0"/>
        <w:widowControl/>
        <w:numPr>
          <w:ilvl w:val="0"/>
          <w:numId w:val="1"/>
        </w:numPr>
        <w:tabs>
          <w:tab w:val="left" w:pos="720"/>
          <w:tab w:val="left" w:pos="851"/>
        </w:tabs>
        <w:kinsoku/>
        <w:wordWrap/>
        <w:overflowPunct/>
        <w:topLinePunct w:val="0"/>
        <w:autoSpaceDE/>
        <w:autoSpaceDN/>
        <w:bidi w:val="0"/>
        <w:adjustRightInd/>
        <w:snapToGrid w:val="0"/>
        <w:spacing w:line="23" w:lineRule="atLeast"/>
        <w:ind w:left="0" w:leftChars="0" w:firstLine="480" w:firstLineChars="0"/>
        <w:jc w:val="both"/>
        <w:textAlignment w:val="auto"/>
        <w:rPr>
          <w:color w:val="FF0000"/>
          <w:lang w:val="ro-RO"/>
        </w:rPr>
      </w:pPr>
      <w:r>
        <w:rPr>
          <w:lang w:val="en-US"/>
        </w:rPr>
        <w:t xml:space="preserve">Se acceptă acordarea premiului </w:t>
      </w:r>
      <w:r>
        <w:rPr>
          <w:lang w:val="ro-RO"/>
        </w:rPr>
        <w:t xml:space="preserve">cu prilejul zilei profesionale „Ziua Lucrătorului medical și a Farmacistului” </w:t>
      </w:r>
      <w:r>
        <w:rPr>
          <w:lang w:val="en-US"/>
        </w:rPr>
        <w:t xml:space="preserve">personalului </w:t>
      </w:r>
      <w:r>
        <w:rPr>
          <w:lang w:val="ro-RO"/>
        </w:rPr>
        <w:t>de conducere din cadrul IMSP „Centre de Sănătate” și ÎM „Centrul Stomatologic raional Sîngerei”, din contul economiei formate</w:t>
      </w:r>
      <w:r>
        <w:rPr>
          <w:shd w:val="clear" w:color="auto" w:fill="FFFFFF"/>
          <w:lang w:val="en-US"/>
        </w:rPr>
        <w:t xml:space="preserve"> pentru retribuirea muncii pe anul respectiv</w:t>
      </w:r>
      <w:r>
        <w:rPr>
          <w:lang w:val="ro-RO"/>
        </w:rPr>
        <w:t>.</w:t>
      </w:r>
    </w:p>
    <w:p w14:paraId="536B04E9">
      <w:pPr>
        <w:pStyle w:val="22"/>
        <w:keepNext w:val="0"/>
        <w:keepLines w:val="0"/>
        <w:pageBreakBefore w:val="0"/>
        <w:widowControl/>
        <w:numPr>
          <w:ilvl w:val="0"/>
          <w:numId w:val="1"/>
        </w:numPr>
        <w:tabs>
          <w:tab w:val="left" w:pos="720"/>
          <w:tab w:val="left" w:pos="851"/>
        </w:tabs>
        <w:kinsoku/>
        <w:wordWrap/>
        <w:overflowPunct/>
        <w:topLinePunct w:val="0"/>
        <w:autoSpaceDE/>
        <w:autoSpaceDN/>
        <w:bidi w:val="0"/>
        <w:adjustRightInd/>
        <w:snapToGrid w:val="0"/>
        <w:spacing w:line="23" w:lineRule="atLeast"/>
        <w:ind w:left="-87" w:leftChars="0" w:firstLine="567" w:firstLineChars="0"/>
        <w:jc w:val="both"/>
        <w:textAlignment w:val="auto"/>
        <w:rPr>
          <w:color w:val="FF0000"/>
          <w:lang w:val="ro-RO"/>
        </w:rPr>
      </w:pPr>
      <w:r>
        <w:rPr>
          <w:lang w:val="ro-RO"/>
        </w:rPr>
        <w:t>Mărimea premiului acordat personalului indicat în pct.1 nu va depăși mărimea premiului stabilit</w:t>
      </w:r>
      <w:r>
        <w:rPr>
          <w:shd w:val="clear" w:color="auto" w:fill="FFFFFF"/>
          <w:lang w:val="en-US"/>
        </w:rPr>
        <w:t xml:space="preserve"> pentru personalul din subordine, care va fi acordat simultan cu premierea personalului de conducere.</w:t>
      </w:r>
    </w:p>
    <w:p w14:paraId="4776FAC3">
      <w:pPr>
        <w:pStyle w:val="22"/>
        <w:keepNext w:val="0"/>
        <w:keepLines w:val="0"/>
        <w:pageBreakBefore w:val="0"/>
        <w:widowControl/>
        <w:numPr>
          <w:ilvl w:val="0"/>
          <w:numId w:val="1"/>
        </w:numPr>
        <w:tabs>
          <w:tab w:val="left" w:pos="720"/>
          <w:tab w:val="left" w:pos="851"/>
        </w:tabs>
        <w:kinsoku/>
        <w:wordWrap/>
        <w:overflowPunct/>
        <w:topLinePunct w:val="0"/>
        <w:autoSpaceDE/>
        <w:autoSpaceDN/>
        <w:bidi w:val="0"/>
        <w:adjustRightInd/>
        <w:snapToGrid w:val="0"/>
        <w:spacing w:line="23" w:lineRule="atLeast"/>
        <w:ind w:left="-87" w:leftChars="0" w:firstLine="567" w:firstLineChars="0"/>
        <w:jc w:val="both"/>
        <w:textAlignment w:val="auto"/>
        <w:rPr>
          <w:color w:val="FF0000"/>
          <w:lang w:val="ro-RO"/>
        </w:rPr>
      </w:pPr>
      <w:r>
        <w:rPr>
          <w:lang w:val="ro-RO"/>
        </w:rPr>
        <w:t>Controlul  asupra realizări deciziei în cauză se pune în sarcina Comisiei consultative  pentru Învăţămînt, Cultură, Sport, Tineret, Ocrotirea sănătăţii, Probleme sociale, Turism şi Culte (dna Alina TABARCEA).</w:t>
      </w:r>
    </w:p>
    <w:p w14:paraId="60A33A4C">
      <w:pPr>
        <w:pStyle w:val="22"/>
        <w:keepNext w:val="0"/>
        <w:keepLines w:val="0"/>
        <w:pageBreakBefore w:val="0"/>
        <w:widowControl/>
        <w:numPr>
          <w:ilvl w:val="0"/>
          <w:numId w:val="1"/>
        </w:numPr>
        <w:tabs>
          <w:tab w:val="left" w:pos="720"/>
          <w:tab w:val="left" w:pos="851"/>
        </w:tabs>
        <w:kinsoku/>
        <w:wordWrap/>
        <w:overflowPunct/>
        <w:topLinePunct w:val="0"/>
        <w:autoSpaceDE/>
        <w:autoSpaceDN/>
        <w:bidi w:val="0"/>
        <w:adjustRightInd/>
        <w:snapToGrid w:val="0"/>
        <w:spacing w:line="23" w:lineRule="atLeast"/>
        <w:ind w:left="-87" w:leftChars="0" w:firstLine="567" w:firstLineChars="0"/>
        <w:jc w:val="both"/>
        <w:textAlignment w:val="auto"/>
        <w:rPr>
          <w:color w:val="FF0000"/>
          <w:lang w:val="ro-RO"/>
        </w:rPr>
      </w:pPr>
      <w:r>
        <w:rPr>
          <w:rFonts w:eastAsia="Calibri"/>
          <w:bCs/>
          <w:lang w:val="ro-RO" w:eastAsia="en-US"/>
        </w:rPr>
        <w:t>Prezenta decizie poate fi contestată la Judecătoria Bălți (sediul Central, str. Hotinului, nr. 43) în termen de 30 zile de la data comunicării, potrivit prevederilor Codului Administrativ al Republicii Moldova nr. 116/2018.</w:t>
      </w:r>
    </w:p>
    <w:p w14:paraId="0AE47B45">
      <w:pPr>
        <w:spacing w:line="240" w:lineRule="auto"/>
        <w:jc w:val="both"/>
        <w:rPr>
          <w:rFonts w:eastAsia="Calibri"/>
          <w:b/>
          <w:lang w:val="it-IT"/>
        </w:rPr>
      </w:pPr>
    </w:p>
    <w:p w14:paraId="00184F39">
      <w:pPr>
        <w:spacing w:line="240" w:lineRule="auto"/>
        <w:jc w:val="both"/>
        <w:rPr>
          <w:rFonts w:eastAsia="Calibri"/>
          <w:b/>
          <w:lang w:val="it-IT"/>
        </w:rPr>
      </w:pPr>
    </w:p>
    <w:p w14:paraId="1D0AC118">
      <w:pPr>
        <w:spacing w:line="240" w:lineRule="auto"/>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spacing w:line="240" w:lineRule="auto"/>
        <w:jc w:val="both"/>
        <w:rPr>
          <w:rFonts w:eastAsia="Calibri"/>
          <w:b/>
          <w:lang w:val="it-IT"/>
        </w:rPr>
      </w:pPr>
    </w:p>
    <w:p w14:paraId="474A61C8">
      <w:pPr>
        <w:tabs>
          <w:tab w:val="left" w:pos="1860"/>
        </w:tabs>
        <w:spacing w:line="240" w:lineRule="auto"/>
        <w:jc w:val="both"/>
        <w:rPr>
          <w:rFonts w:eastAsia="Calibri"/>
          <w:b/>
          <w:lang w:val="it-IT"/>
        </w:rPr>
      </w:pPr>
    </w:p>
    <w:p w14:paraId="58B9E2E9">
      <w:pPr>
        <w:tabs>
          <w:tab w:val="left" w:pos="1860"/>
        </w:tabs>
        <w:spacing w:line="240" w:lineRule="auto"/>
        <w:jc w:val="both"/>
        <w:rPr>
          <w:rFonts w:eastAsia="Calibri"/>
          <w:b/>
          <w:lang w:val="it-IT"/>
        </w:rPr>
      </w:pPr>
      <w:r>
        <w:rPr>
          <w:rFonts w:eastAsia="Calibri"/>
          <w:b/>
          <w:lang w:val="it-IT"/>
        </w:rPr>
        <w:t>CONTRASEMNAT:</w:t>
      </w:r>
    </w:p>
    <w:p w14:paraId="5F4341F7">
      <w:pPr>
        <w:tabs>
          <w:tab w:val="left" w:pos="1860"/>
        </w:tabs>
        <w:spacing w:line="240" w:lineRule="auto"/>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5466FFD8">
      <w:pPr>
        <w:tabs>
          <w:tab w:val="left" w:pos="1860"/>
        </w:tabs>
        <w:spacing w:line="240" w:lineRule="auto"/>
        <w:jc w:val="both"/>
        <w:rPr>
          <w:rFonts w:eastAsia="Calibri"/>
          <w:b/>
          <w:lang w:val="it-IT"/>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7A203E45">
      <w:pPr>
        <w:tabs>
          <w:tab w:val="left" w:pos="1860"/>
        </w:tabs>
        <w:spacing w:line="240" w:lineRule="auto"/>
        <w:jc w:val="both"/>
        <w:rPr>
          <w:rFonts w:eastAsia="Calibri"/>
          <w:b/>
          <w:lang w:val="it-IT"/>
        </w:rPr>
      </w:pPr>
      <w:bookmarkStart w:id="0" w:name="_GoBack"/>
      <w:bookmarkEnd w:id="0"/>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249CA"/>
    <w:multiLevelType w:val="multilevel"/>
    <w:tmpl w:val="1D3249CA"/>
    <w:lvl w:ilvl="0" w:tentative="0">
      <w:start w:val="1"/>
      <w:numFmt w:val="decimal"/>
      <w:lvlText w:val="%1."/>
      <w:lvlJc w:val="left"/>
      <w:pPr>
        <w:ind w:left="693" w:hanging="360"/>
      </w:pPr>
      <w:rPr>
        <w:rFonts w:hint="default"/>
        <w:b w:val="0"/>
        <w:color w:val="auto"/>
      </w:rPr>
    </w:lvl>
    <w:lvl w:ilvl="1" w:tentative="0">
      <w:start w:val="1"/>
      <w:numFmt w:val="lowerLetter"/>
      <w:lvlText w:val="%2."/>
      <w:lvlJc w:val="left"/>
      <w:pPr>
        <w:ind w:left="1413" w:hanging="360"/>
      </w:pPr>
    </w:lvl>
    <w:lvl w:ilvl="2" w:tentative="0">
      <w:start w:val="1"/>
      <w:numFmt w:val="lowerRoman"/>
      <w:lvlText w:val="%3."/>
      <w:lvlJc w:val="right"/>
      <w:pPr>
        <w:ind w:left="2133" w:hanging="180"/>
      </w:pPr>
    </w:lvl>
    <w:lvl w:ilvl="3" w:tentative="0">
      <w:start w:val="1"/>
      <w:numFmt w:val="decimal"/>
      <w:lvlText w:val="%4."/>
      <w:lvlJc w:val="left"/>
      <w:pPr>
        <w:ind w:left="2853" w:hanging="360"/>
      </w:pPr>
    </w:lvl>
    <w:lvl w:ilvl="4" w:tentative="0">
      <w:start w:val="1"/>
      <w:numFmt w:val="lowerLetter"/>
      <w:lvlText w:val="%5."/>
      <w:lvlJc w:val="left"/>
      <w:pPr>
        <w:ind w:left="3573" w:hanging="360"/>
      </w:pPr>
    </w:lvl>
    <w:lvl w:ilvl="5" w:tentative="0">
      <w:start w:val="1"/>
      <w:numFmt w:val="lowerRoman"/>
      <w:lvlText w:val="%6."/>
      <w:lvlJc w:val="right"/>
      <w:pPr>
        <w:ind w:left="4293" w:hanging="180"/>
      </w:pPr>
    </w:lvl>
    <w:lvl w:ilvl="6" w:tentative="0">
      <w:start w:val="1"/>
      <w:numFmt w:val="decimal"/>
      <w:lvlText w:val="%7."/>
      <w:lvlJc w:val="left"/>
      <w:pPr>
        <w:ind w:left="5013" w:hanging="360"/>
      </w:pPr>
    </w:lvl>
    <w:lvl w:ilvl="7" w:tentative="0">
      <w:start w:val="1"/>
      <w:numFmt w:val="lowerLetter"/>
      <w:lvlText w:val="%8."/>
      <w:lvlJc w:val="left"/>
      <w:pPr>
        <w:ind w:left="5733" w:hanging="360"/>
      </w:pPr>
    </w:lvl>
    <w:lvl w:ilvl="8" w:tentative="0">
      <w:start w:val="1"/>
      <w:numFmt w:val="lowerRoman"/>
      <w:lvlText w:val="%9."/>
      <w:lvlJc w:val="right"/>
      <w:pPr>
        <w:ind w:left="64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207B683C"/>
    <w:rsid w:val="23807F3D"/>
    <w:rsid w:val="29092693"/>
    <w:rsid w:val="2FF70329"/>
    <w:rsid w:val="38316E8E"/>
    <w:rsid w:val="38AC52BE"/>
    <w:rsid w:val="4B336EF6"/>
    <w:rsid w:val="4D2A7EFB"/>
    <w:rsid w:val="693848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qFormat/>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270</Words>
  <Characters>1726</Characters>
  <Lines>18</Lines>
  <Paragraphs>5</Paragraphs>
  <TotalTime>0</TotalTime>
  <ScaleCrop>false</ScaleCrop>
  <LinksUpToDate>false</LinksUpToDate>
  <CharactersWithSpaces>2141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2026-06-10T12:11:05Z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2C0A7A7AB702440A83E438DF5EC8E620_13</vt:lpwstr>
  </property>
</Properties>
</file>