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176" w:tblpY="106"/>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6660"/>
        <w:gridCol w:w="1620"/>
      </w:tblGrid>
      <w:tr w14:paraId="7D8E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544" w:type="dxa"/>
            <w:tcBorders>
              <w:top w:val="nil"/>
              <w:left w:val="nil"/>
              <w:bottom w:val="single" w:color="auto" w:sz="4" w:space="0"/>
              <w:right w:val="nil"/>
            </w:tcBorders>
          </w:tcPr>
          <w:p w14:paraId="772DB3E5">
            <w:pPr>
              <w:jc w:val="center"/>
              <w:rPr>
                <w:b/>
                <w:sz w:val="28"/>
                <w:lang w:val="en-US"/>
              </w:rPr>
            </w:pPr>
            <w:r>
              <w:drawing>
                <wp:anchor distT="0" distB="0" distL="114300" distR="114300" simplePos="0" relativeHeight="251660288" behindDoc="0" locked="0" layoutInCell="1" allowOverlap="0">
                  <wp:simplePos x="0" y="0"/>
                  <wp:positionH relativeFrom="margin">
                    <wp:posOffset>121920</wp:posOffset>
                  </wp:positionH>
                  <wp:positionV relativeFrom="margin">
                    <wp:posOffset>114300</wp:posOffset>
                  </wp:positionV>
                  <wp:extent cx="569595" cy="685800"/>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srcRect/>
                          <a:stretch>
                            <a:fillRect/>
                          </a:stretch>
                        </pic:blipFill>
                        <pic:spPr>
                          <a:xfrm>
                            <a:off x="0" y="0"/>
                            <a:ext cx="569595" cy="685800"/>
                          </a:xfrm>
                          <a:prstGeom prst="rect">
                            <a:avLst/>
                          </a:prstGeom>
                          <a:noFill/>
                          <a:ln w="9525">
                            <a:noFill/>
                            <a:miter lim="800000"/>
                            <a:headEnd/>
                            <a:tailEnd/>
                          </a:ln>
                        </pic:spPr>
                      </pic:pic>
                    </a:graphicData>
                  </a:graphic>
                </wp:anchor>
              </w:drawing>
            </w:r>
          </w:p>
          <w:p w14:paraId="2F5B4E34">
            <w:pPr>
              <w:rPr>
                <w:lang w:val="en-US"/>
              </w:rPr>
            </w:pPr>
          </w:p>
        </w:tc>
        <w:tc>
          <w:tcPr>
            <w:tcW w:w="6660" w:type="dxa"/>
            <w:tcBorders>
              <w:top w:val="nil"/>
              <w:left w:val="nil"/>
              <w:bottom w:val="single" w:color="auto" w:sz="4" w:space="0"/>
              <w:right w:val="nil"/>
            </w:tcBorders>
          </w:tcPr>
          <w:p w14:paraId="5CD3FE06">
            <w:pPr>
              <w:pStyle w:val="2"/>
              <w:jc w:val="center"/>
              <w:rPr>
                <w:sz w:val="24"/>
                <w:szCs w:val="24"/>
              </w:rPr>
            </w:pPr>
          </w:p>
          <w:p w14:paraId="4BC523EA">
            <w:pPr>
              <w:pStyle w:val="2"/>
              <w:jc w:val="center"/>
              <w:rPr>
                <w:sz w:val="24"/>
                <w:szCs w:val="24"/>
              </w:rPr>
            </w:pPr>
            <w:r>
              <w:rPr>
                <w:sz w:val="24"/>
                <w:szCs w:val="24"/>
              </w:rPr>
              <w:t>REPUBLICA  MOLDOVA</w:t>
            </w:r>
          </w:p>
          <w:p w14:paraId="64FFABE3">
            <w:pPr>
              <w:pStyle w:val="2"/>
              <w:jc w:val="center"/>
              <w:rPr>
                <w:sz w:val="24"/>
                <w:szCs w:val="24"/>
              </w:rPr>
            </w:pPr>
            <w:r>
              <w:rPr>
                <w:sz w:val="24"/>
                <w:szCs w:val="24"/>
              </w:rPr>
              <w:t>CONSILIUL  RAIONAL</w:t>
            </w:r>
          </w:p>
          <w:p w14:paraId="3F72022D">
            <w:pPr>
              <w:jc w:val="center"/>
              <w:rPr>
                <w:b/>
                <w:lang w:val="ro-RO"/>
              </w:rPr>
            </w:pPr>
            <w:r>
              <w:rPr>
                <w:b/>
                <w:lang w:val="en-US"/>
              </w:rPr>
              <w:t>S</w:t>
            </w:r>
            <w:r>
              <w:rPr>
                <w:b/>
                <w:lang w:val="ro-RO"/>
              </w:rPr>
              <w:t>ÎNGEREI</w:t>
            </w:r>
          </w:p>
          <w:p w14:paraId="13CA429B">
            <w:pPr>
              <w:jc w:val="center"/>
              <w:rPr>
                <w:lang w:val="en-US"/>
              </w:rPr>
            </w:pPr>
            <w:r>
              <w:rPr>
                <w:b/>
                <w:lang w:val="ro-RO"/>
              </w:rPr>
              <w:t xml:space="preserve">PREŞEDINTELE RAIONULUI </w:t>
            </w:r>
          </w:p>
        </w:tc>
        <w:tc>
          <w:tcPr>
            <w:tcW w:w="1620" w:type="dxa"/>
            <w:tcBorders>
              <w:top w:val="nil"/>
              <w:left w:val="nil"/>
              <w:bottom w:val="single" w:color="auto" w:sz="4" w:space="0"/>
              <w:right w:val="nil"/>
            </w:tcBorders>
          </w:tcPr>
          <w:p w14:paraId="5169E802">
            <w:pPr>
              <w:jc w:val="center"/>
              <w:rPr>
                <w:lang w:val="en-US"/>
              </w:rPr>
            </w:pPr>
            <w: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66F67B4D">
            <w:pPr>
              <w:jc w:val="center"/>
              <w:rPr>
                <w:b/>
                <w:sz w:val="18"/>
                <w:szCs w:val="18"/>
                <w:lang w:val="en-US"/>
              </w:rPr>
            </w:pPr>
            <w:r>
              <w:rPr>
                <w:b/>
                <w:sz w:val="20"/>
                <w:szCs w:val="20"/>
              </w:rPr>
              <w:drawing>
                <wp:inline distT="0" distB="0" distL="0" distR="0">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496570" cy="626110"/>
                          </a:xfrm>
                          <a:prstGeom prst="rect">
                            <a:avLst/>
                          </a:prstGeom>
                          <a:noFill/>
                          <a:ln w="9525">
                            <a:noFill/>
                            <a:miter lim="800000"/>
                            <a:headEnd/>
                            <a:tailEnd/>
                          </a:ln>
                        </pic:spPr>
                      </pic:pic>
                    </a:graphicData>
                  </a:graphic>
                </wp:inline>
              </w:drawing>
            </w:r>
          </w:p>
          <w:p w14:paraId="18E52C5D">
            <w:pPr>
              <w:rPr>
                <w:sz w:val="18"/>
                <w:szCs w:val="18"/>
                <w:lang w:val="en-US"/>
              </w:rPr>
            </w:pPr>
          </w:p>
          <w:p w14:paraId="2AE3BB23">
            <w:pPr>
              <w:jc w:val="right"/>
              <w:rPr>
                <w:sz w:val="18"/>
                <w:szCs w:val="18"/>
                <w:lang w:val="en-US"/>
              </w:rPr>
            </w:pPr>
          </w:p>
        </w:tc>
      </w:tr>
      <w:tr w14:paraId="3429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824" w:type="dxa"/>
            <w:gridSpan w:val="3"/>
            <w:tcBorders>
              <w:top w:val="single" w:color="auto" w:sz="4" w:space="0"/>
              <w:left w:val="nil"/>
              <w:bottom w:val="thinThickSmallGap" w:color="auto" w:sz="24" w:space="0"/>
              <w:right w:val="nil"/>
            </w:tcBorders>
          </w:tcPr>
          <w:p w14:paraId="6F6FEECE">
            <w:pPr>
              <w:rPr>
                <w:b/>
                <w:lang w:val="ro-RO"/>
              </w:rPr>
            </w:pPr>
          </w:p>
        </w:tc>
      </w:tr>
    </w:tbl>
    <w:p w14:paraId="20781CFE">
      <w:pPr>
        <w:spacing w:line="276" w:lineRule="auto"/>
        <w:rPr>
          <w:b/>
          <w:sz w:val="22"/>
          <w:szCs w:val="22"/>
          <w:lang w:val="en-US"/>
        </w:rPr>
      </w:pPr>
      <w:r>
        <w:rPr>
          <w:b/>
          <w:sz w:val="22"/>
          <w:szCs w:val="22"/>
          <w:lang w:val="en-US"/>
        </w:rPr>
        <w:t>Nr. ________________</w:t>
      </w:r>
    </w:p>
    <w:p w14:paraId="3AFCF957">
      <w:pPr>
        <w:spacing w:line="276" w:lineRule="auto"/>
        <w:rPr>
          <w:sz w:val="22"/>
          <w:szCs w:val="22"/>
          <w:lang w:val="ro-RO"/>
        </w:rPr>
      </w:pPr>
      <w:r>
        <w:rPr>
          <w:b/>
          <w:sz w:val="22"/>
          <w:szCs w:val="22"/>
          <w:lang w:val="en-US"/>
        </w:rPr>
        <w:t>din ______________ 2026</w:t>
      </w:r>
    </w:p>
    <w:p w14:paraId="15F659DF">
      <w:pPr>
        <w:rPr>
          <w:sz w:val="22"/>
          <w:szCs w:val="22"/>
          <w:lang w:val="ro-RO"/>
        </w:rPr>
      </w:pPr>
      <w:r>
        <w:rPr>
          <w:sz w:val="22"/>
          <w:szCs w:val="22"/>
          <w:lang w:val="ro-RO"/>
        </w:rPr>
        <w:tab/>
      </w:r>
      <w:r>
        <w:rPr>
          <w:sz w:val="22"/>
          <w:szCs w:val="22"/>
          <w:lang w:val="ro-RO"/>
        </w:rPr>
        <w:tab/>
      </w:r>
    </w:p>
    <w:p w14:paraId="26E27CA1">
      <w:pPr>
        <w:rPr>
          <w:szCs w:val="22"/>
          <w:lang w:val="ro-RO"/>
        </w:rPr>
      </w:pPr>
      <w:r>
        <w:rPr>
          <w:szCs w:val="22"/>
          <w:lang w:val="ro-RO"/>
        </w:rPr>
        <w:t xml:space="preserve">Secretară interimară a                                                                        De acord şi dispun elaborarea  Consiliului raional                                                                                          proiectului de decizie </w:t>
      </w:r>
    </w:p>
    <w:p w14:paraId="59D4044E">
      <w:pPr>
        <w:jc w:val="both"/>
        <w:rPr>
          <w:sz w:val="22"/>
          <w:szCs w:val="22"/>
          <w:lang w:val="ro-RO"/>
        </w:rPr>
      </w:pPr>
      <w:r>
        <w:rPr>
          <w:b/>
          <w:sz w:val="22"/>
          <w:szCs w:val="22"/>
          <w:lang w:val="ro-RO"/>
        </w:rPr>
        <w:t>Angela MIHALIUC                                                                                                     PREŞEDINTE</w:t>
      </w:r>
    </w:p>
    <w:p w14:paraId="35B5F9AE">
      <w:pPr>
        <w:tabs>
          <w:tab w:val="left" w:pos="7088"/>
          <w:tab w:val="left" w:pos="7230"/>
        </w:tabs>
        <w:jc w:val="both"/>
        <w:rPr>
          <w:sz w:val="22"/>
          <w:szCs w:val="22"/>
          <w:lang w:val="ro-RO"/>
        </w:rPr>
      </w:pPr>
      <w:r>
        <w:rPr>
          <w:sz w:val="22"/>
          <w:szCs w:val="22"/>
          <w:lang w:val="ro-RO"/>
        </w:rPr>
        <w:t xml:space="preserve">_____________                                                                                                         </w:t>
      </w:r>
      <w:r>
        <w:rPr>
          <w:b/>
          <w:sz w:val="22"/>
          <w:szCs w:val="22"/>
          <w:lang w:val="ro-RO"/>
        </w:rPr>
        <w:t>Cristian CAINARIAN</w:t>
      </w:r>
      <w:r>
        <w:rPr>
          <w:sz w:val="22"/>
          <w:szCs w:val="22"/>
          <w:lang w:val="ro-RO"/>
        </w:rPr>
        <w:t xml:space="preserve">             </w:t>
      </w:r>
      <w:r>
        <w:rPr>
          <w:b/>
          <w:sz w:val="22"/>
          <w:szCs w:val="22"/>
          <w:lang w:val="ro-RO"/>
        </w:rPr>
        <w:t xml:space="preserve"> </w:t>
      </w:r>
    </w:p>
    <w:p w14:paraId="5F088A53">
      <w:pPr>
        <w:contextualSpacing/>
        <w:jc w:val="right"/>
        <w:rPr>
          <w:b/>
          <w:lang w:val="ro-RO"/>
        </w:rPr>
      </w:pPr>
      <w:r>
        <w:rPr>
          <w:b/>
          <w:lang w:val="ro-RO"/>
        </w:rPr>
        <w:t xml:space="preserve">                                            ________________</w:t>
      </w:r>
    </w:p>
    <w:p w14:paraId="0A7285C5">
      <w:pPr>
        <w:contextualSpacing/>
        <w:jc w:val="center"/>
        <w:rPr>
          <w:b/>
          <w:lang w:val="ro-RO"/>
        </w:rPr>
      </w:pPr>
      <w:r>
        <w:rPr>
          <w:b/>
          <w:lang w:val="ro-RO"/>
        </w:rPr>
        <w:t>NOTĂ DE FUNDAMENTARE</w:t>
      </w:r>
    </w:p>
    <w:p w14:paraId="6AD88DA6">
      <w:pPr>
        <w:tabs>
          <w:tab w:val="left" w:pos="567"/>
        </w:tabs>
        <w:contextualSpacing/>
        <w:jc w:val="center"/>
        <w:rPr>
          <w:b/>
          <w:lang w:val="en-US"/>
        </w:rPr>
      </w:pPr>
      <w:r>
        <w:rPr>
          <w:b/>
          <w:lang w:val="en-US"/>
        </w:rPr>
        <w:t>Cu privire la gestionarea locuințelor sociale din blocul locativ situat pe str.</w:t>
      </w:r>
    </w:p>
    <w:p w14:paraId="10BF0FEB">
      <w:pPr>
        <w:tabs>
          <w:tab w:val="left" w:pos="567"/>
        </w:tabs>
        <w:contextualSpacing/>
        <w:jc w:val="center"/>
        <w:rPr>
          <w:b/>
          <w:lang w:val="en-US"/>
        </w:rPr>
      </w:pPr>
      <w:r>
        <w:rPr>
          <w:b/>
          <w:lang w:val="en-US"/>
        </w:rPr>
        <w:t>Independenței 75 A, or. Sîngerei</w:t>
      </w:r>
    </w:p>
    <w:tbl>
      <w:tblPr>
        <w:tblStyle w:val="6"/>
        <w:tblW w:w="5089"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1A4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896BF9D">
            <w:pPr>
              <w:tabs>
                <w:tab w:val="left" w:pos="284"/>
                <w:tab w:val="left" w:pos="1196"/>
              </w:tabs>
              <w:jc w:val="both"/>
              <w:rPr>
                <w:b/>
                <w:color w:val="000000"/>
                <w:szCs w:val="22"/>
                <w:lang w:val="en-US" w:eastAsia="en-US"/>
              </w:rPr>
            </w:pPr>
            <w:r>
              <w:rPr>
                <w:b/>
                <w:color w:val="000000"/>
                <w:szCs w:val="22"/>
                <w:lang w:val="it-IT"/>
              </w:rPr>
              <w:t xml:space="preserve">1. </w:t>
            </w:r>
            <w:r>
              <w:rPr>
                <w:b/>
                <w:color w:val="000000"/>
                <w:szCs w:val="22"/>
                <w:lang w:val="en-US"/>
              </w:rPr>
              <w:t>Denumirea sau numele autorului şi, după caz, a/al participanţilor la elaborarea proiectului actului normativ</w:t>
            </w:r>
          </w:p>
        </w:tc>
      </w:tr>
      <w:tr w14:paraId="607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tcBorders>
              <w:top w:val="single" w:color="auto" w:sz="4" w:space="0"/>
              <w:left w:val="single" w:color="auto" w:sz="4" w:space="0"/>
              <w:bottom w:val="single" w:color="auto" w:sz="4" w:space="0"/>
              <w:right w:val="single" w:color="auto" w:sz="4" w:space="0"/>
            </w:tcBorders>
          </w:tcPr>
          <w:p w14:paraId="63FC4879">
            <w:pPr>
              <w:pStyle w:val="28"/>
              <w:jc w:val="both"/>
              <w:rPr>
                <w:color w:val="000000"/>
                <w:szCs w:val="22"/>
                <w:lang w:val="ro-RO"/>
              </w:rPr>
            </w:pPr>
            <w:r>
              <w:rPr>
                <w:lang w:val="en-US"/>
              </w:rPr>
              <w:t xml:space="preserve">Proiectul de Decizie este elaborat de Secretara interimară a Consiliului raional </w:t>
            </w:r>
            <w:r>
              <w:rPr>
                <w:szCs w:val="22"/>
                <w:lang w:val="en-US"/>
              </w:rPr>
              <w:t xml:space="preserve">(A. Mihaliuc) </w:t>
            </w:r>
            <w:r>
              <w:rPr>
                <w:lang w:val="en-US"/>
              </w:rPr>
              <w:t xml:space="preserve">la inițiativa </w:t>
            </w:r>
            <w:r>
              <w:rPr>
                <w:rFonts w:eastAsia="Calibri"/>
                <w:color w:val="000000" w:themeColor="text1"/>
                <w:szCs w:val="22"/>
                <w:lang w:val="en-US"/>
                <w14:textFill>
                  <w14:solidFill>
                    <w14:schemeClr w14:val="tx1"/>
                  </w14:solidFill>
                </w14:textFill>
              </w:rPr>
              <w:t xml:space="preserve">Președintelui raionului/Președintele </w:t>
            </w:r>
            <w:r>
              <w:rPr>
                <w:lang w:val="it-IT"/>
              </w:rPr>
              <w:t xml:space="preserve">Comisiei </w:t>
            </w:r>
            <w:r>
              <w:rPr>
                <w:lang w:val="en-US"/>
              </w:rPr>
              <w:t>consultative pentru domeniul locuințelor</w:t>
            </w:r>
            <w:r>
              <w:rPr>
                <w:rFonts w:eastAsia="Calibri"/>
                <w:color w:val="000000" w:themeColor="text1"/>
                <w:szCs w:val="22"/>
                <w:lang w:val="en-US"/>
                <w14:textFill>
                  <w14:solidFill>
                    <w14:schemeClr w14:val="tx1"/>
                  </w14:solidFill>
                </w14:textFill>
              </w:rPr>
              <w:t xml:space="preserve"> (C. Cainarian).</w:t>
            </w:r>
          </w:p>
        </w:tc>
      </w:tr>
      <w:tr w14:paraId="264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000" w:type="pct"/>
            <w:tcBorders>
              <w:top w:val="single" w:color="auto" w:sz="4" w:space="0"/>
              <w:left w:val="single" w:color="auto" w:sz="4" w:space="0"/>
              <w:bottom w:val="single" w:color="auto" w:sz="4" w:space="0"/>
              <w:right w:val="single" w:color="auto" w:sz="4" w:space="0"/>
            </w:tcBorders>
          </w:tcPr>
          <w:p w14:paraId="0C18962F">
            <w:pPr>
              <w:tabs>
                <w:tab w:val="left" w:pos="884"/>
                <w:tab w:val="left" w:pos="1196"/>
              </w:tabs>
              <w:jc w:val="both"/>
              <w:rPr>
                <w:b/>
                <w:color w:val="000000"/>
                <w:szCs w:val="22"/>
                <w:lang w:val="en-US" w:eastAsia="en-US"/>
              </w:rPr>
            </w:pPr>
            <w:r>
              <w:rPr>
                <w:b/>
                <w:color w:val="000000"/>
                <w:szCs w:val="22"/>
                <w:lang w:val="en-US"/>
              </w:rPr>
              <w:t>2. Condiţiile ce au impus elaborarea proiectului actului normativ</w:t>
            </w:r>
          </w:p>
        </w:tc>
      </w:tr>
      <w:tr w14:paraId="54AB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000" w:type="pct"/>
            <w:tcBorders>
              <w:top w:val="single" w:color="auto" w:sz="4" w:space="0"/>
              <w:left w:val="single" w:color="auto" w:sz="4" w:space="0"/>
              <w:bottom w:val="single" w:color="auto" w:sz="4" w:space="0"/>
              <w:right w:val="single" w:color="auto" w:sz="4" w:space="0"/>
            </w:tcBorders>
          </w:tcPr>
          <w:p w14:paraId="652A3501">
            <w:pPr>
              <w:pStyle w:val="19"/>
              <w:tabs>
                <w:tab w:val="left" w:pos="0"/>
                <w:tab w:val="left" w:pos="567"/>
              </w:tabs>
              <w:jc w:val="both"/>
              <w:rPr>
                <w:rFonts w:ascii="Times New Roman" w:hAnsi="Times New Roman"/>
                <w:sz w:val="24"/>
                <w:szCs w:val="24"/>
                <w:lang w:val="it-IT"/>
              </w:rPr>
            </w:pPr>
            <w:r>
              <w:rPr>
                <w:color w:val="000000"/>
              </w:rPr>
              <w:t xml:space="preserve">   </w:t>
            </w:r>
            <w:r>
              <w:rPr>
                <w:rFonts w:ascii="Times New Roman" w:hAnsi="Times New Roman"/>
                <w:sz w:val="24"/>
                <w:szCs w:val="24"/>
                <w:lang w:val="ro-RO"/>
              </w:rPr>
              <w:t xml:space="preserve">Proiectul de decizie </w:t>
            </w:r>
            <w:r>
              <w:rPr>
                <w:rFonts w:ascii="Times New Roman" w:hAnsi="Times New Roman"/>
                <w:sz w:val="24"/>
                <w:szCs w:val="24"/>
              </w:rPr>
              <w:t>a fost elaborat urmare a prevederilor</w:t>
            </w:r>
            <w:r>
              <w:rPr>
                <w:rFonts w:ascii="Times New Roman" w:hAnsi="Times New Roman"/>
                <w:sz w:val="24"/>
                <w:szCs w:val="24"/>
                <w:lang w:val="ro-RO"/>
              </w:rPr>
              <w:t xml:space="preserve"> art. 43 alin. (1) lit. h) și alin. (2) al Legii privind administraţia publică locală nr. 436/2006, Legii nr. 75/2015 </w:t>
            </w:r>
            <w:r>
              <w:rPr>
                <w:rFonts w:ascii="Times New Roman" w:hAnsi="Times New Roman"/>
                <w:bCs/>
                <w:sz w:val="24"/>
                <w:szCs w:val="24"/>
              </w:rPr>
              <w:t xml:space="preserve">cu privire la locuinţe, </w:t>
            </w:r>
            <w:r>
              <w:rPr>
                <w:rFonts w:ascii="Times New Roman" w:hAnsi="Times New Roman"/>
                <w:sz w:val="24"/>
                <w:szCs w:val="24"/>
                <w:lang w:val="ro-RO"/>
              </w:rPr>
              <w:t>Hotărârii Guvernului nr. 447/2017 pentru aprobarea Regulamentului cu privire la evidența, modul de atribuire și folosire a locuințelor sociale;</w:t>
            </w:r>
            <w:r>
              <w:rPr>
                <w:sz w:val="24"/>
                <w:szCs w:val="24"/>
                <w:lang w:val="ro-RO"/>
              </w:rPr>
              <w:t xml:space="preserve"> </w:t>
            </w:r>
            <w:r>
              <w:rPr>
                <w:rFonts w:ascii="Times New Roman" w:hAnsi="Times New Roman"/>
                <w:sz w:val="24"/>
                <w:szCs w:val="24"/>
                <w:lang w:val="ro-RO"/>
              </w:rPr>
              <w:t xml:space="preserve">Decizia nr. 5/17 din 29.06.2023 „Cu privire la aprobarea Regulamentului de funcționare a Comisiei consultative pentru domeniul locuințelor a Consiliului Raional Sîngerei și modul de atribuire a locuințelor sociale în raionul Sîngerei”, cu modificările ulterioare, </w:t>
            </w:r>
            <w:r>
              <w:rPr>
                <w:rFonts w:ascii="Times New Roman" w:hAnsi="Times New Roman"/>
                <w:sz w:val="24"/>
                <w:szCs w:val="24"/>
                <w:lang w:val="it-IT"/>
              </w:rPr>
              <w:t xml:space="preserve">Procesul-Verbal nr. 5 din 21.05.2026 al Comisiei </w:t>
            </w:r>
            <w:r>
              <w:rPr>
                <w:rFonts w:ascii="Times New Roman" w:hAnsi="Times New Roman"/>
                <w:sz w:val="24"/>
                <w:szCs w:val="24"/>
              </w:rPr>
              <w:t>consultative pentru domeniul locuințelor</w:t>
            </w:r>
            <w:r>
              <w:rPr>
                <w:rFonts w:ascii="Times New Roman" w:hAnsi="Times New Roman"/>
                <w:sz w:val="24"/>
                <w:szCs w:val="24"/>
                <w:lang w:val="it-IT"/>
              </w:rPr>
              <w:t>.</w:t>
            </w:r>
          </w:p>
          <w:p w14:paraId="72EEF7F7">
            <w:pPr>
              <w:pStyle w:val="19"/>
              <w:tabs>
                <w:tab w:val="left" w:pos="0"/>
                <w:tab w:val="left" w:pos="567"/>
              </w:tabs>
              <w:jc w:val="both"/>
              <w:rPr>
                <w:rFonts w:ascii="Times New Roman" w:hAnsi="Times New Roman"/>
                <w:color w:val="000000"/>
                <w:lang w:val="it-IT"/>
              </w:rPr>
            </w:pPr>
            <w:r>
              <w:rPr>
                <w:rFonts w:ascii="Times New Roman" w:hAnsi="Times New Roman"/>
                <w:sz w:val="24"/>
                <w:szCs w:val="24"/>
                <w:lang w:val="it-IT"/>
              </w:rPr>
              <w:t xml:space="preserve">  </w:t>
            </w:r>
            <w:r>
              <w:rPr>
                <w:rFonts w:ascii="Times New Roman" w:hAnsi="Times New Roman"/>
                <w:sz w:val="24"/>
              </w:rPr>
              <w:t>Elaborarea proiectului a fost determinată de necesitatea asigurării gestionării eficiente a fondului de locuințe sociale, în urma examinării situației beneficiarilor, a verificării întrunirii condițiilor de eligibilitate, a respectării obligațiilor contractuale, precum și a actualizării evidenței persoanelor care beneficiază de locuințe sociale.</w:t>
            </w:r>
          </w:p>
        </w:tc>
      </w:tr>
      <w:tr w14:paraId="7D4B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59CBDF89">
            <w:pPr>
              <w:tabs>
                <w:tab w:val="left" w:pos="884"/>
                <w:tab w:val="left" w:pos="1196"/>
              </w:tabs>
              <w:jc w:val="both"/>
              <w:rPr>
                <w:b/>
                <w:color w:val="000000"/>
                <w:szCs w:val="22"/>
                <w:lang w:val="en-US" w:eastAsia="en-US"/>
              </w:rPr>
            </w:pPr>
            <w:r>
              <w:rPr>
                <w:b/>
                <w:color w:val="000000"/>
                <w:szCs w:val="22"/>
                <w:lang w:val="en-US"/>
              </w:rPr>
              <w:t>3. Obiectivele urmărite și soluțiile propuse</w:t>
            </w:r>
          </w:p>
        </w:tc>
      </w:tr>
      <w:tr w14:paraId="7C85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tcBorders>
              <w:top w:val="single" w:color="auto" w:sz="4" w:space="0"/>
              <w:left w:val="single" w:color="auto" w:sz="4" w:space="0"/>
              <w:bottom w:val="single" w:color="auto" w:sz="4" w:space="0"/>
              <w:right w:val="single" w:color="auto" w:sz="4" w:space="0"/>
            </w:tcBorders>
          </w:tcPr>
          <w:p w14:paraId="1F767154">
            <w:pPr>
              <w:pStyle w:val="12"/>
              <w:spacing w:before="0" w:beforeAutospacing="0" w:after="0" w:afterAutospacing="0"/>
              <w:jc w:val="both"/>
              <w:rPr>
                <w:lang w:val="en-US"/>
              </w:rPr>
            </w:pPr>
            <w:r>
              <w:rPr>
                <w:szCs w:val="22"/>
                <w:lang w:val="en-US"/>
              </w:rPr>
              <w:t xml:space="preserve">    </w:t>
            </w:r>
            <w:r>
              <w:rPr>
                <w:lang w:val="en-US"/>
              </w:rPr>
              <w:t>În cadrul ședinței Comisiei consultative pentru domeniul locuințelor din 21.05.2026 (Proces-verbal nr. 5), au fost examinate cererile privind prelungirea contractelor de locațiune, dosarele beneficiarilor, situația restanțelor la plata chiriei, precum și respectarea condițiilor de eligibilitate prevăzute de Legea nr. 75/2015.</w:t>
            </w:r>
          </w:p>
          <w:p w14:paraId="1DE65920">
            <w:pPr>
              <w:ind w:firstLine="318"/>
              <w:rPr>
                <w:lang w:val="en-US"/>
              </w:rPr>
            </w:pPr>
            <w:r>
              <w:rPr>
                <w:lang w:val="en-US"/>
              </w:rPr>
              <w:t>Urmare a verificărilor efectuate, Comisia a constatat:</w:t>
            </w:r>
          </w:p>
          <w:p w14:paraId="28F5DE41">
            <w:pPr>
              <w:numPr>
                <w:ilvl w:val="0"/>
                <w:numId w:val="1"/>
              </w:numPr>
              <w:tabs>
                <w:tab w:val="left" w:pos="460"/>
                <w:tab w:val="clear" w:pos="720"/>
              </w:tabs>
              <w:ind w:left="34" w:firstLine="284"/>
              <w:jc w:val="both"/>
              <w:rPr>
                <w:lang w:val="en-US"/>
              </w:rPr>
            </w:pPr>
            <w:r>
              <w:rPr>
                <w:lang w:val="en-US"/>
              </w:rPr>
              <w:t xml:space="preserve">existența unor beneficiari care nu mai întrunesc condițiile legale pentru menținerea dreptului de folosință asupra locuințelor sociale; </w:t>
            </w:r>
          </w:p>
          <w:p w14:paraId="7B5C3997">
            <w:pPr>
              <w:numPr>
                <w:ilvl w:val="0"/>
                <w:numId w:val="1"/>
              </w:numPr>
              <w:tabs>
                <w:tab w:val="left" w:pos="460"/>
                <w:tab w:val="clear" w:pos="720"/>
              </w:tabs>
              <w:spacing w:before="100" w:beforeAutospacing="1" w:after="100" w:afterAutospacing="1"/>
              <w:ind w:left="34" w:firstLine="284"/>
              <w:jc w:val="both"/>
              <w:rPr>
                <w:lang w:val="en-US"/>
              </w:rPr>
            </w:pPr>
            <w:r>
              <w:rPr>
                <w:lang w:val="en-US"/>
              </w:rPr>
              <w:t xml:space="preserve">cazuri de deținere a bunurilor imobile sau terenurilor pentru construcții, cu impact asupra eligibilității; </w:t>
            </w:r>
          </w:p>
          <w:p w14:paraId="1C1A537A">
            <w:pPr>
              <w:numPr>
                <w:ilvl w:val="0"/>
                <w:numId w:val="1"/>
              </w:numPr>
              <w:tabs>
                <w:tab w:val="left" w:pos="460"/>
                <w:tab w:val="clear" w:pos="720"/>
              </w:tabs>
              <w:spacing w:before="100" w:beforeAutospacing="1" w:after="100" w:afterAutospacing="1"/>
              <w:ind w:left="34" w:firstLine="284"/>
              <w:jc w:val="both"/>
              <w:rPr>
                <w:lang w:val="en-US"/>
              </w:rPr>
            </w:pPr>
            <w:r>
              <w:rPr>
                <w:lang w:val="en-US"/>
              </w:rPr>
              <w:t xml:space="preserve">neexecutarea obligațiilor de plată a chiriei și acumularea restanțelor; </w:t>
            </w:r>
          </w:p>
          <w:p w14:paraId="390123B2">
            <w:pPr>
              <w:numPr>
                <w:ilvl w:val="0"/>
                <w:numId w:val="1"/>
              </w:numPr>
              <w:tabs>
                <w:tab w:val="left" w:pos="460"/>
                <w:tab w:val="clear" w:pos="720"/>
              </w:tabs>
              <w:ind w:left="34" w:firstLine="284"/>
              <w:jc w:val="both"/>
              <w:rPr>
                <w:lang w:val="en-US"/>
              </w:rPr>
            </w:pPr>
            <w:r>
              <w:rPr>
                <w:lang w:val="en-US"/>
              </w:rPr>
              <w:t xml:space="preserve">necesitatea suspendării examinării unor cereri din lipsa documentelor justificative complete. </w:t>
            </w:r>
          </w:p>
          <w:p w14:paraId="7BC33C3A">
            <w:r>
              <w:t>Totodată, Comisia a propus:</w:t>
            </w:r>
          </w:p>
          <w:p w14:paraId="0BEA71BD">
            <w:pPr>
              <w:numPr>
                <w:ilvl w:val="0"/>
                <w:numId w:val="2"/>
              </w:numPr>
              <w:tabs>
                <w:tab w:val="left" w:pos="0"/>
                <w:tab w:val="left" w:pos="460"/>
                <w:tab w:val="clear" w:pos="720"/>
              </w:tabs>
              <w:ind w:left="34" w:firstLine="284"/>
              <w:rPr>
                <w:lang w:val="en-US"/>
              </w:rPr>
            </w:pPr>
            <w:r>
              <w:rPr>
                <w:lang w:val="en-US"/>
              </w:rPr>
              <w:t xml:space="preserve">prelungirea contractelor pentru beneficiarii care întrunesc condițiile legale; </w:t>
            </w:r>
          </w:p>
          <w:p w14:paraId="3C1A0C18">
            <w:pPr>
              <w:numPr>
                <w:ilvl w:val="0"/>
                <w:numId w:val="2"/>
              </w:numPr>
              <w:tabs>
                <w:tab w:val="left" w:pos="0"/>
                <w:tab w:val="left" w:pos="460"/>
                <w:tab w:val="clear" w:pos="720"/>
              </w:tabs>
              <w:spacing w:before="100" w:beforeAutospacing="1" w:after="100" w:afterAutospacing="1"/>
              <w:ind w:left="34" w:firstLine="284"/>
              <w:rPr>
                <w:lang w:val="en-US"/>
              </w:rPr>
            </w:pPr>
            <w:r>
              <w:rPr>
                <w:lang w:val="en-US"/>
              </w:rPr>
              <w:t xml:space="preserve">respingerea prelungirii contractelor pentru persoanele care nu mai îndeplinesc criteriile de eligibilitate; </w:t>
            </w:r>
          </w:p>
          <w:p w14:paraId="4E4EC38B">
            <w:pPr>
              <w:numPr>
                <w:ilvl w:val="0"/>
                <w:numId w:val="2"/>
              </w:numPr>
              <w:tabs>
                <w:tab w:val="left" w:pos="0"/>
                <w:tab w:val="left" w:pos="460"/>
                <w:tab w:val="clear" w:pos="720"/>
              </w:tabs>
              <w:spacing w:before="100" w:beforeAutospacing="1" w:after="100" w:afterAutospacing="1"/>
              <w:ind w:left="34" w:firstLine="284"/>
              <w:rPr>
                <w:lang w:val="en-US"/>
              </w:rPr>
            </w:pPr>
            <w:r>
              <w:rPr>
                <w:lang w:val="en-US"/>
              </w:rPr>
              <w:t xml:space="preserve">excluderea din evidența persoanelor cu drept la locuință socială a beneficiarilor care și-au pierdut acest drept; </w:t>
            </w:r>
          </w:p>
          <w:p w14:paraId="3EB088A2">
            <w:pPr>
              <w:numPr>
                <w:ilvl w:val="0"/>
                <w:numId w:val="2"/>
              </w:numPr>
              <w:tabs>
                <w:tab w:val="left" w:pos="0"/>
                <w:tab w:val="left" w:pos="460"/>
                <w:tab w:val="clear" w:pos="720"/>
              </w:tabs>
              <w:spacing w:before="100" w:beforeAutospacing="1" w:after="100" w:afterAutospacing="1"/>
              <w:ind w:left="34" w:firstLine="284"/>
              <w:rPr>
                <w:lang w:val="en-US"/>
              </w:rPr>
            </w:pPr>
            <w:r>
              <w:rPr>
                <w:lang w:val="en-US"/>
              </w:rPr>
              <w:t xml:space="preserve">constatarea restanțelor la plata chiriei; </w:t>
            </w:r>
          </w:p>
          <w:p w14:paraId="1576803A">
            <w:pPr>
              <w:numPr>
                <w:ilvl w:val="0"/>
                <w:numId w:val="2"/>
              </w:numPr>
              <w:tabs>
                <w:tab w:val="left" w:pos="0"/>
                <w:tab w:val="left" w:pos="460"/>
                <w:tab w:val="clear" w:pos="720"/>
              </w:tabs>
              <w:spacing w:before="100" w:beforeAutospacing="1" w:after="100" w:afterAutospacing="1"/>
              <w:ind w:left="34" w:firstLine="284"/>
              <w:rPr>
                <w:lang w:val="en-US"/>
              </w:rPr>
            </w:pPr>
            <w:r>
              <w:rPr>
                <w:lang w:val="en-US"/>
              </w:rPr>
              <w:t xml:space="preserve">suspendarea examinării unor cereri până la completarea dosarelor; </w:t>
            </w:r>
          </w:p>
          <w:p w14:paraId="7E21EE95">
            <w:pPr>
              <w:numPr>
                <w:ilvl w:val="0"/>
                <w:numId w:val="2"/>
              </w:numPr>
              <w:tabs>
                <w:tab w:val="left" w:pos="0"/>
                <w:tab w:val="left" w:pos="460"/>
                <w:tab w:val="clear" w:pos="720"/>
              </w:tabs>
              <w:spacing w:before="100" w:beforeAutospacing="1" w:after="100" w:afterAutospacing="1"/>
              <w:ind w:left="34" w:firstLine="284"/>
              <w:rPr>
                <w:lang w:val="en-US"/>
              </w:rPr>
            </w:pPr>
            <w:r>
              <w:rPr>
                <w:lang w:val="en-US"/>
              </w:rPr>
              <w:t xml:space="preserve">împuternicirea autorităților executive pentru asigurarea executării deciziei și recuperarea creanțelor. </w:t>
            </w:r>
          </w:p>
          <w:p w14:paraId="4C0525BB">
            <w:pPr>
              <w:spacing w:before="100" w:beforeAutospacing="1" w:after="100" w:afterAutospacing="1"/>
              <w:rPr>
                <w:lang w:val="en-US"/>
              </w:rPr>
            </w:pPr>
            <w:r>
              <w:rPr>
                <w:lang w:val="en-US"/>
              </w:rPr>
              <w:t>În acest context, proiectul de decizie urmărește asigurarea legalității, transparenței și continuității gestionării fondului de locuințe sociale, în conformitate cu cadrul normativ în vigoare.</w:t>
            </w:r>
          </w:p>
        </w:tc>
      </w:tr>
      <w:tr w14:paraId="4C8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tcBorders>
              <w:top w:val="single" w:color="auto" w:sz="4" w:space="0"/>
              <w:left w:val="single" w:color="auto" w:sz="4" w:space="0"/>
              <w:bottom w:val="single" w:color="auto" w:sz="4" w:space="0"/>
              <w:right w:val="single" w:color="auto" w:sz="4" w:space="0"/>
            </w:tcBorders>
          </w:tcPr>
          <w:p w14:paraId="1FFD1EAD">
            <w:pPr>
              <w:pStyle w:val="28"/>
              <w:jc w:val="both"/>
              <w:rPr>
                <w:b/>
                <w:color w:val="000000"/>
                <w:lang w:val="ro-RO"/>
              </w:rPr>
            </w:pPr>
            <w:r>
              <w:rPr>
                <w:b/>
                <w:color w:val="000000"/>
              </w:rPr>
              <w:t xml:space="preserve">4. </w:t>
            </w:r>
            <w:r>
              <w:rPr>
                <w:b/>
                <w:color w:val="000000"/>
                <w:lang w:val="ro-RO"/>
              </w:rPr>
              <w:t>Analiza impactului de reglementare</w:t>
            </w:r>
          </w:p>
        </w:tc>
      </w:tr>
      <w:tr w14:paraId="6A0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single" w:color="auto" w:sz="4" w:space="0"/>
              <w:left w:val="single" w:color="auto" w:sz="4" w:space="0"/>
              <w:bottom w:val="single" w:color="auto" w:sz="4" w:space="0"/>
              <w:right w:val="single" w:color="auto" w:sz="4" w:space="0"/>
            </w:tcBorders>
          </w:tcPr>
          <w:p w14:paraId="13C0E472">
            <w:pPr>
              <w:pStyle w:val="19"/>
              <w:jc w:val="both"/>
              <w:rPr>
                <w:color w:val="000000"/>
                <w:sz w:val="24"/>
                <w:szCs w:val="24"/>
              </w:rPr>
            </w:pPr>
            <w:r>
              <w:rPr>
                <w:rFonts w:ascii="Times New Roman" w:hAnsi="Times New Roman" w:eastAsia="Times New Roman"/>
                <w:color w:val="000000"/>
                <w:sz w:val="24"/>
                <w:szCs w:val="24"/>
              </w:rPr>
              <w:t xml:space="preserve">     </w:t>
            </w:r>
            <w:r>
              <w:rPr>
                <w:rFonts w:ascii="Times New Roman" w:hAnsi="Times New Roman"/>
                <w:color w:val="000000"/>
                <w:sz w:val="24"/>
                <w:szCs w:val="24"/>
              </w:rPr>
              <w:t>Proiectul de decizie nu înregistrează careva impacturi, costuri și respectiv nu necesită alocarea mijloacelor financiare suplimentare din bugetul raional.</w:t>
            </w:r>
            <w:r>
              <w:rPr>
                <w:rFonts w:ascii="Times New Roman" w:hAnsi="Times New Roman" w:eastAsia="Times New Roman"/>
                <w:color w:val="000000"/>
                <w:sz w:val="24"/>
                <w:szCs w:val="24"/>
              </w:rPr>
              <w:t xml:space="preserve"> </w:t>
            </w:r>
          </w:p>
        </w:tc>
      </w:tr>
      <w:tr w14:paraId="7BE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tcBorders>
              <w:top w:val="single" w:color="auto" w:sz="4" w:space="0"/>
              <w:left w:val="single" w:color="auto" w:sz="4" w:space="0"/>
              <w:bottom w:val="single" w:color="auto" w:sz="4" w:space="0"/>
              <w:right w:val="single" w:color="auto" w:sz="4" w:space="0"/>
            </w:tcBorders>
          </w:tcPr>
          <w:p w14:paraId="6A8B4510">
            <w:pPr>
              <w:pStyle w:val="19"/>
              <w:rPr>
                <w:rFonts w:ascii="Times New Roman" w:hAnsi="Times New Roman" w:eastAsia="Times New Roman"/>
                <w:color w:val="000000"/>
                <w:sz w:val="24"/>
                <w:szCs w:val="24"/>
              </w:rPr>
            </w:pPr>
            <w:r>
              <w:rPr>
                <w:rFonts w:ascii="Times New Roman" w:hAnsi="Times New Roman"/>
                <w:b/>
                <w:color w:val="000000"/>
                <w:sz w:val="24"/>
                <w:szCs w:val="24"/>
              </w:rPr>
              <w:t xml:space="preserve">5. Compatibilitatea proiectului actului normative cu legislația UE - </w:t>
            </w:r>
            <w:r>
              <w:rPr>
                <w:rFonts w:ascii="Times New Roman" w:hAnsi="Times New Roman"/>
                <w:color w:val="000000"/>
                <w:sz w:val="24"/>
                <w:szCs w:val="24"/>
                <w:lang w:val="ro-RO"/>
              </w:rPr>
              <w:t>„Nu este aplicabil”.</w:t>
            </w:r>
          </w:p>
        </w:tc>
      </w:tr>
      <w:tr w14:paraId="2F22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tcBorders>
              <w:top w:val="single" w:color="auto" w:sz="4" w:space="0"/>
              <w:left w:val="single" w:color="auto" w:sz="4" w:space="0"/>
              <w:bottom w:val="single" w:color="auto" w:sz="4" w:space="0"/>
              <w:right w:val="single" w:color="auto" w:sz="4" w:space="0"/>
            </w:tcBorders>
          </w:tcPr>
          <w:p w14:paraId="2A84439D">
            <w:pPr>
              <w:pStyle w:val="19"/>
              <w:rPr>
                <w:rFonts w:ascii="Times New Roman" w:hAnsi="Times New Roman"/>
                <w:b/>
                <w:color w:val="000000"/>
                <w:sz w:val="24"/>
                <w:szCs w:val="24"/>
              </w:rPr>
            </w:pPr>
            <w:r>
              <w:rPr>
                <w:rFonts w:ascii="Times New Roman" w:hAnsi="Times New Roman"/>
                <w:b/>
                <w:color w:val="000000"/>
                <w:sz w:val="24"/>
                <w:szCs w:val="24"/>
              </w:rPr>
              <w:t xml:space="preserve">6. Avizarea și consultarea publică a proiectului actului normative - </w:t>
            </w:r>
            <w:r>
              <w:rPr>
                <w:rFonts w:ascii="Times New Roman" w:hAnsi="Times New Roman"/>
                <w:color w:val="000000"/>
                <w:sz w:val="24"/>
                <w:szCs w:val="24"/>
                <w:lang w:val="ro-RO"/>
              </w:rPr>
              <w:t>„Nu este aplicabil”.</w:t>
            </w:r>
          </w:p>
        </w:tc>
      </w:tr>
      <w:tr w14:paraId="515A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tcBorders>
              <w:top w:val="single" w:color="auto" w:sz="4" w:space="0"/>
              <w:left w:val="single" w:color="auto" w:sz="4" w:space="0"/>
              <w:bottom w:val="single" w:color="auto" w:sz="4" w:space="0"/>
              <w:right w:val="single" w:color="auto" w:sz="4" w:space="0"/>
            </w:tcBorders>
          </w:tcPr>
          <w:p w14:paraId="5EFE0030">
            <w:pPr>
              <w:pStyle w:val="19"/>
              <w:rPr>
                <w:rFonts w:ascii="Times New Roman" w:hAnsi="Times New Roman"/>
                <w:b/>
                <w:color w:val="000000"/>
                <w:sz w:val="24"/>
                <w:szCs w:val="24"/>
              </w:rPr>
            </w:pPr>
            <w:r>
              <w:rPr>
                <w:rFonts w:ascii="Times New Roman" w:hAnsi="Times New Roman"/>
                <w:b/>
                <w:color w:val="000000"/>
                <w:sz w:val="24"/>
                <w:szCs w:val="24"/>
              </w:rPr>
              <w:t xml:space="preserve">7. Concluziile expertizelor - </w:t>
            </w:r>
            <w:r>
              <w:rPr>
                <w:rFonts w:ascii="Times New Roman" w:hAnsi="Times New Roman"/>
                <w:color w:val="000000"/>
                <w:sz w:val="24"/>
                <w:szCs w:val="24"/>
                <w:lang w:val="ro-RO"/>
              </w:rPr>
              <w:t>„Nu este aplicabil”.</w:t>
            </w:r>
          </w:p>
        </w:tc>
      </w:tr>
      <w:tr w14:paraId="29C9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000" w:type="pct"/>
            <w:tcBorders>
              <w:top w:val="single" w:color="auto" w:sz="4" w:space="0"/>
              <w:left w:val="single" w:color="auto" w:sz="4" w:space="0"/>
              <w:bottom w:val="single" w:color="auto" w:sz="4" w:space="0"/>
              <w:right w:val="single" w:color="auto" w:sz="4" w:space="0"/>
            </w:tcBorders>
          </w:tcPr>
          <w:p w14:paraId="086F1D73">
            <w:pPr>
              <w:tabs>
                <w:tab w:val="left" w:pos="884"/>
                <w:tab w:val="left" w:pos="1196"/>
              </w:tabs>
              <w:spacing w:line="276" w:lineRule="auto"/>
              <w:jc w:val="both"/>
              <w:rPr>
                <w:b/>
                <w:color w:val="000000"/>
                <w:lang w:val="en-US" w:eastAsia="en-US"/>
              </w:rPr>
            </w:pPr>
            <w:r>
              <w:rPr>
                <w:b/>
                <w:color w:val="000000"/>
                <w:lang w:val="en-US"/>
              </w:rPr>
              <w:t xml:space="preserve">8. Modul de încorporare a actului în cadrul normativ existent </w:t>
            </w:r>
          </w:p>
        </w:tc>
      </w:tr>
      <w:tr w14:paraId="159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00" w:type="pct"/>
            <w:tcBorders>
              <w:top w:val="single" w:color="auto" w:sz="4" w:space="0"/>
              <w:left w:val="single" w:color="auto" w:sz="4" w:space="0"/>
              <w:bottom w:val="single" w:color="auto" w:sz="4" w:space="0"/>
              <w:right w:val="single" w:color="auto" w:sz="4" w:space="0"/>
            </w:tcBorders>
          </w:tcPr>
          <w:p w14:paraId="3053B015">
            <w:pPr>
              <w:tabs>
                <w:tab w:val="left" w:pos="884"/>
                <w:tab w:val="left" w:pos="1196"/>
              </w:tabs>
              <w:ind w:firstLine="360"/>
              <w:jc w:val="both"/>
              <w:rPr>
                <w:color w:val="000000"/>
                <w:lang w:val="en-US" w:eastAsia="en-US"/>
              </w:rPr>
            </w:pPr>
            <w:r>
              <w:rPr>
                <w:color w:val="000000"/>
                <w:lang w:val="en-US"/>
              </w:rPr>
              <w:t>Proiectul de decizie nu necesită modificarea și/sau completarea unor acte normative.</w:t>
            </w:r>
          </w:p>
        </w:tc>
      </w:tr>
      <w:tr w14:paraId="4B18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tcBorders>
              <w:top w:val="single" w:color="auto" w:sz="4" w:space="0"/>
              <w:left w:val="single" w:color="auto" w:sz="4" w:space="0"/>
              <w:bottom w:val="single" w:color="auto" w:sz="4" w:space="0"/>
              <w:right w:val="single" w:color="auto" w:sz="4" w:space="0"/>
            </w:tcBorders>
          </w:tcPr>
          <w:p w14:paraId="565D0F15">
            <w:pPr>
              <w:tabs>
                <w:tab w:val="left" w:pos="884"/>
                <w:tab w:val="left" w:pos="1196"/>
              </w:tabs>
              <w:spacing w:line="276" w:lineRule="auto"/>
              <w:jc w:val="both"/>
              <w:rPr>
                <w:color w:val="000000"/>
                <w:lang w:val="en-US"/>
              </w:rPr>
            </w:pPr>
            <w:r>
              <w:rPr>
                <w:b/>
                <w:color w:val="000000"/>
                <w:lang w:val="en-US"/>
              </w:rPr>
              <w:t xml:space="preserve">9. Măsurile necesare pentru implementarea prevederilor proiectului actului normative - </w:t>
            </w:r>
            <w:r>
              <w:rPr>
                <w:color w:val="000000"/>
                <w:lang w:val="ro-RO"/>
              </w:rPr>
              <w:t>„Nu este aplicabil”.</w:t>
            </w:r>
          </w:p>
        </w:tc>
      </w:tr>
    </w:tbl>
    <w:p w14:paraId="3E4294B1">
      <w:pPr>
        <w:jc w:val="center"/>
        <w:rPr>
          <w:b/>
          <w:color w:val="000000"/>
          <w:lang w:val="en-US"/>
        </w:rPr>
      </w:pPr>
    </w:p>
    <w:tbl>
      <w:tblPr>
        <w:tblStyle w:val="6"/>
        <w:tblW w:w="5093" w:type="pct"/>
        <w:tblInd w:w="-176" w:type="dxa"/>
        <w:tblLayout w:type="autofit"/>
        <w:tblCellMar>
          <w:top w:w="0" w:type="dxa"/>
          <w:left w:w="108" w:type="dxa"/>
          <w:bottom w:w="0" w:type="dxa"/>
          <w:right w:w="108" w:type="dxa"/>
        </w:tblCellMar>
      </w:tblPr>
      <w:tblGrid>
        <w:gridCol w:w="4821"/>
        <w:gridCol w:w="4927"/>
      </w:tblGrid>
      <w:tr w14:paraId="10C5C5F8">
        <w:tblPrEx>
          <w:tblCellMar>
            <w:top w:w="0" w:type="dxa"/>
            <w:left w:w="108" w:type="dxa"/>
            <w:bottom w:w="0" w:type="dxa"/>
            <w:right w:w="108" w:type="dxa"/>
          </w:tblCellMar>
        </w:tblPrEx>
        <w:trPr>
          <w:trHeight w:val="983" w:hRule="atLeast"/>
        </w:trPr>
        <w:tc>
          <w:tcPr>
            <w:tcW w:w="2473" w:type="pct"/>
          </w:tcPr>
          <w:p w14:paraId="3D8E9849">
            <w:pPr>
              <w:jc w:val="center"/>
              <w:rPr>
                <w:b/>
                <w:lang w:val="ro-RO"/>
              </w:rPr>
            </w:pPr>
            <w:r>
              <w:rPr>
                <w:b/>
                <w:lang w:val="ro-RO"/>
              </w:rPr>
              <w:t>ÎNTOCMIT</w:t>
            </w:r>
          </w:p>
          <w:p w14:paraId="2274F64C">
            <w:pPr>
              <w:ind w:left="-284"/>
              <w:jc w:val="center"/>
              <w:rPr>
                <w:b/>
                <w:sz w:val="22"/>
                <w:szCs w:val="22"/>
                <w:lang w:val="en-US"/>
              </w:rPr>
            </w:pPr>
            <w:r>
              <w:rPr>
                <w:b/>
                <w:sz w:val="22"/>
                <w:szCs w:val="22"/>
                <w:lang w:val="en-US"/>
              </w:rPr>
              <w:t xml:space="preserve">Secretara Comisiei </w:t>
            </w:r>
            <w:r>
              <w:rPr>
                <w:b/>
                <w:lang w:val="en-US"/>
              </w:rPr>
              <w:t>Consultative</w:t>
            </w:r>
            <w:r>
              <w:rPr>
                <w:b/>
                <w:lang w:val="ro-RO"/>
              </w:rPr>
              <w:t xml:space="preserve"> pentru domeniul locuințelor</w:t>
            </w:r>
          </w:p>
          <w:p w14:paraId="7C1989E9">
            <w:pPr>
              <w:ind w:left="-284"/>
              <w:jc w:val="center"/>
              <w:rPr>
                <w:lang w:val="en-US"/>
              </w:rPr>
            </w:pPr>
            <w:r>
              <w:rPr>
                <w:b/>
                <w:sz w:val="22"/>
                <w:szCs w:val="22"/>
                <w:lang w:val="en-US"/>
              </w:rPr>
              <w:t>Angela Mihaliuc</w:t>
            </w:r>
          </w:p>
          <w:p w14:paraId="7ACCBAB5">
            <w:pPr>
              <w:jc w:val="center"/>
              <w:rPr>
                <w:sz w:val="22"/>
                <w:lang w:val="it-IT"/>
              </w:rPr>
            </w:pPr>
            <w:r>
              <w:rPr>
                <w:sz w:val="18"/>
                <w:lang w:val="ro-RO"/>
              </w:rPr>
              <w:t>________________________________</w:t>
            </w:r>
          </w:p>
        </w:tc>
        <w:tc>
          <w:tcPr>
            <w:tcW w:w="2527" w:type="pct"/>
          </w:tcPr>
          <w:p w14:paraId="1FA5801D">
            <w:pPr>
              <w:tabs>
                <w:tab w:val="left" w:pos="1788"/>
                <w:tab w:val="center" w:pos="2356"/>
              </w:tabs>
              <w:contextualSpacing/>
              <w:jc w:val="center"/>
              <w:rPr>
                <w:b/>
                <w:lang w:val="ro-RO"/>
              </w:rPr>
            </w:pPr>
            <w:r>
              <w:rPr>
                <w:b/>
                <w:lang w:val="ro-RO"/>
              </w:rPr>
              <w:t>COORDONAT</w:t>
            </w:r>
          </w:p>
          <w:p w14:paraId="2B309441">
            <w:pPr>
              <w:tabs>
                <w:tab w:val="left" w:pos="1788"/>
                <w:tab w:val="center" w:pos="2356"/>
              </w:tabs>
              <w:contextualSpacing/>
              <w:jc w:val="center"/>
              <w:rPr>
                <w:b/>
                <w:lang w:val="ro-RO"/>
              </w:rPr>
            </w:pPr>
            <w:r>
              <w:rPr>
                <w:b/>
                <w:lang w:val="ro-RO"/>
              </w:rPr>
              <w:t>Vicepreședinta raionului</w:t>
            </w:r>
          </w:p>
          <w:p w14:paraId="01B4528A">
            <w:pPr>
              <w:tabs>
                <w:tab w:val="left" w:pos="1788"/>
                <w:tab w:val="center" w:pos="2356"/>
              </w:tabs>
              <w:contextualSpacing/>
              <w:jc w:val="center"/>
              <w:rPr>
                <w:b/>
                <w:lang w:val="ro-RO"/>
              </w:rPr>
            </w:pPr>
            <w:r>
              <w:rPr>
                <w:b/>
                <w:lang w:val="ro-RO"/>
              </w:rPr>
              <w:t>Vera SERBUȘCA</w:t>
            </w:r>
          </w:p>
          <w:p w14:paraId="7DCF3233">
            <w:pPr>
              <w:tabs>
                <w:tab w:val="left" w:pos="1788"/>
                <w:tab w:val="center" w:pos="2356"/>
              </w:tabs>
              <w:contextualSpacing/>
              <w:jc w:val="center"/>
              <w:rPr>
                <w:b/>
                <w:lang w:val="ro-RO"/>
              </w:rPr>
            </w:pPr>
            <w:r>
              <w:rPr>
                <w:b/>
                <w:lang w:val="ro-RO"/>
              </w:rPr>
              <w:t>_________________________</w:t>
            </w:r>
          </w:p>
        </w:tc>
      </w:tr>
    </w:tbl>
    <w:p w14:paraId="4DE80823">
      <w:pPr>
        <w:jc w:val="center"/>
        <w:rPr>
          <w:b/>
          <w:color w:val="000000"/>
          <w:lang w:val="ro-RO"/>
        </w:rPr>
      </w:pPr>
    </w:p>
    <w:p w14:paraId="598D0353">
      <w:pPr>
        <w:jc w:val="center"/>
        <w:rPr>
          <w:b/>
          <w:color w:val="000000"/>
          <w:lang w:val="en-US"/>
        </w:rPr>
      </w:pPr>
    </w:p>
    <w:p w14:paraId="11C5747A">
      <w:pPr>
        <w:jc w:val="center"/>
        <w:rPr>
          <w:b/>
          <w:color w:val="000000"/>
          <w:lang w:val="en-US"/>
        </w:rPr>
      </w:pPr>
    </w:p>
    <w:p w14:paraId="5F122052">
      <w:pPr>
        <w:jc w:val="center"/>
        <w:rPr>
          <w:b/>
          <w:color w:val="000000"/>
          <w:lang w:val="en-US"/>
        </w:rPr>
      </w:pPr>
    </w:p>
    <w:p w14:paraId="556EC5E0">
      <w:pPr>
        <w:jc w:val="center"/>
        <w:rPr>
          <w:b/>
          <w:color w:val="000000"/>
          <w:lang w:val="en-US"/>
        </w:rPr>
      </w:pPr>
    </w:p>
    <w:p w14:paraId="15AA0549">
      <w:pPr>
        <w:jc w:val="center"/>
        <w:rPr>
          <w:b/>
          <w:color w:val="000000"/>
          <w:lang w:val="en-US"/>
        </w:rPr>
      </w:pPr>
    </w:p>
    <w:p w14:paraId="36996C01">
      <w:pPr>
        <w:jc w:val="center"/>
        <w:rPr>
          <w:b/>
          <w:color w:val="000000"/>
          <w:lang w:val="en-US"/>
        </w:rPr>
      </w:pPr>
    </w:p>
    <w:p w14:paraId="36D13BD4">
      <w:pPr>
        <w:jc w:val="center"/>
        <w:rPr>
          <w:b/>
          <w:color w:val="000000"/>
          <w:lang w:val="en-US"/>
        </w:rPr>
      </w:pPr>
    </w:p>
    <w:p w14:paraId="13F10936">
      <w:pPr>
        <w:jc w:val="center"/>
        <w:rPr>
          <w:b/>
          <w:color w:val="000000"/>
          <w:lang w:val="en-US"/>
        </w:rPr>
      </w:pPr>
    </w:p>
    <w:p w14:paraId="20FB2440">
      <w:pPr>
        <w:jc w:val="center"/>
        <w:rPr>
          <w:b/>
          <w:color w:val="000000"/>
          <w:lang w:val="en-US"/>
        </w:rPr>
      </w:pPr>
    </w:p>
    <w:p w14:paraId="5DAA779A">
      <w:pPr>
        <w:jc w:val="center"/>
        <w:rPr>
          <w:b/>
          <w:color w:val="000000"/>
          <w:lang w:val="en-US"/>
        </w:rPr>
      </w:pPr>
    </w:p>
    <w:p w14:paraId="6FBB2C4E">
      <w:pPr>
        <w:jc w:val="center"/>
        <w:rPr>
          <w:b/>
          <w:color w:val="000000"/>
          <w:lang w:val="en-US"/>
        </w:rPr>
      </w:pPr>
    </w:p>
    <w:p w14:paraId="7A9F929C">
      <w:pPr>
        <w:jc w:val="center"/>
        <w:rPr>
          <w:b/>
          <w:color w:val="000000"/>
          <w:lang w:val="en-US"/>
        </w:rPr>
      </w:pPr>
    </w:p>
    <w:p w14:paraId="56C868A0">
      <w:pPr>
        <w:jc w:val="center"/>
        <w:rPr>
          <w:b/>
          <w:color w:val="000000"/>
          <w:lang w:val="en-US"/>
        </w:rPr>
      </w:pPr>
    </w:p>
    <w:p w14:paraId="6162A900">
      <w:pPr>
        <w:jc w:val="center"/>
        <w:rPr>
          <w:b/>
          <w:color w:val="000000"/>
          <w:lang w:val="en-US"/>
        </w:rPr>
      </w:pPr>
    </w:p>
    <w:p w14:paraId="20FA4DE7">
      <w:pPr>
        <w:jc w:val="center"/>
        <w:rPr>
          <w:b/>
          <w:color w:val="000000"/>
          <w:lang w:val="en-US"/>
        </w:rPr>
      </w:pPr>
    </w:p>
    <w:p w14:paraId="3D8B55C9">
      <w:pPr>
        <w:jc w:val="center"/>
        <w:rPr>
          <w:b/>
          <w:color w:val="000000"/>
          <w:lang w:val="en-US"/>
        </w:rPr>
      </w:pPr>
    </w:p>
    <w:p w14:paraId="2566C2B5">
      <w:pPr>
        <w:jc w:val="center"/>
        <w:rPr>
          <w:b/>
          <w:color w:val="000000"/>
          <w:lang w:val="en-US"/>
        </w:rPr>
      </w:pPr>
    </w:p>
    <w:p w14:paraId="7248668D">
      <w:pPr>
        <w:jc w:val="center"/>
        <w:rPr>
          <w:b/>
          <w:color w:val="000000"/>
          <w:lang w:val="en-US"/>
        </w:rPr>
      </w:pPr>
    </w:p>
    <w:p w14:paraId="5E933664">
      <w:pPr>
        <w:jc w:val="center"/>
        <w:rPr>
          <w:b/>
          <w:color w:val="000000"/>
          <w:lang w:val="en-US"/>
        </w:rPr>
      </w:pPr>
    </w:p>
    <w:p w14:paraId="509A8E3E">
      <w:pPr>
        <w:jc w:val="center"/>
        <w:rPr>
          <w:b/>
          <w:color w:val="000000"/>
          <w:lang w:val="en-US"/>
        </w:rPr>
      </w:pPr>
    </w:p>
    <w:p w14:paraId="544FBA49">
      <w:pPr>
        <w:jc w:val="center"/>
        <w:rPr>
          <w:b/>
          <w:color w:val="000000"/>
          <w:lang w:val="en-US"/>
        </w:rPr>
      </w:pPr>
    </w:p>
    <w:p w14:paraId="11AA7397">
      <w:pPr>
        <w:jc w:val="center"/>
        <w:rPr>
          <w:b/>
          <w:color w:val="000000"/>
          <w:lang w:val="en-US"/>
        </w:rPr>
      </w:pPr>
    </w:p>
    <w:p w14:paraId="53211F00">
      <w:pPr>
        <w:jc w:val="center"/>
        <w:rPr>
          <w:b/>
          <w:color w:val="000000"/>
          <w:lang w:val="en-US"/>
        </w:rPr>
      </w:pPr>
    </w:p>
    <w:p w14:paraId="38AF3737">
      <w:pPr>
        <w:jc w:val="center"/>
        <w:rPr>
          <w:b/>
          <w:color w:val="000000"/>
          <w:lang w:val="en-US"/>
        </w:rPr>
      </w:pPr>
    </w:p>
    <w:p w14:paraId="34E60841">
      <w:pPr>
        <w:jc w:val="center"/>
        <w:rPr>
          <w:b/>
          <w:color w:val="000000"/>
          <w:lang w:val="en-US"/>
        </w:rPr>
      </w:pPr>
    </w:p>
    <w:p w14:paraId="77D78631">
      <w:pPr>
        <w:jc w:val="center"/>
        <w:rPr>
          <w:b/>
          <w:color w:val="000000"/>
          <w:lang w:val="en-US"/>
        </w:rPr>
      </w:pPr>
    </w:p>
    <w:p w14:paraId="22440B2D">
      <w:pPr>
        <w:jc w:val="center"/>
        <w:rPr>
          <w:b/>
          <w:color w:val="000000"/>
          <w:lang w:val="en-US"/>
        </w:rPr>
      </w:pPr>
    </w:p>
    <w:p w14:paraId="276D7D1D">
      <w:pPr>
        <w:jc w:val="center"/>
        <w:rPr>
          <w:b/>
          <w:color w:val="000000"/>
          <w:lang w:val="en-US"/>
        </w:rPr>
      </w:pPr>
    </w:p>
    <w:p w14:paraId="2E658B1E">
      <w:pPr>
        <w:jc w:val="center"/>
        <w:rPr>
          <w:b/>
          <w:color w:val="000000"/>
          <w:lang w:val="en-US"/>
        </w:rPr>
      </w:pPr>
    </w:p>
    <w:p w14:paraId="72033170">
      <w:pPr>
        <w:rPr>
          <w:lang w:val="en-US"/>
        </w:rPr>
        <w:sectPr>
          <w:pgSz w:w="11906" w:h="16838"/>
          <w:pgMar w:top="289" w:right="851" w:bottom="295" w:left="1701" w:header="709" w:footer="709" w:gutter="0"/>
          <w:cols w:space="708" w:num="1"/>
          <w:docGrid w:linePitch="360" w:charSpace="0"/>
        </w:sectPr>
      </w:pPr>
    </w:p>
    <w:tbl>
      <w:tblPr>
        <w:tblStyle w:val="6"/>
        <w:tblpPr w:leftFromText="180" w:rightFromText="180" w:vertAnchor="page" w:horzAnchor="page" w:tblpX="1472" w:tblpY="40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6021"/>
        <w:gridCol w:w="1705"/>
      </w:tblGrid>
      <w:tr w14:paraId="0E3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994" w:type="dxa"/>
            <w:tcBorders>
              <w:top w:val="nil"/>
              <w:left w:val="nil"/>
              <w:bottom w:val="single" w:color="auto" w:sz="4" w:space="0"/>
              <w:right w:val="nil"/>
            </w:tcBorders>
          </w:tcPr>
          <w:p w14:paraId="04E405BA">
            <w:pPr>
              <w:contextualSpacing/>
              <w:rPr>
                <w:lang w:val="ro-RO"/>
              </w:rPr>
            </w:pPr>
            <w:r>
              <w:drawing>
                <wp:anchor distT="0" distB="0" distL="114300" distR="114300" simplePos="0" relativeHeight="251661312" behindDoc="0" locked="0" layoutInCell="1" allowOverlap="0">
                  <wp:simplePos x="0" y="0"/>
                  <wp:positionH relativeFrom="margin">
                    <wp:posOffset>100330</wp:posOffset>
                  </wp:positionH>
                  <wp:positionV relativeFrom="margin">
                    <wp:posOffset>158115</wp:posOffset>
                  </wp:positionV>
                  <wp:extent cx="676275" cy="819150"/>
                  <wp:effectExtent l="0" t="0" r="9525"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6" cstate="print"/>
                          <a:srcRect/>
                          <a:stretch>
                            <a:fillRect/>
                          </a:stretch>
                        </pic:blipFill>
                        <pic:spPr>
                          <a:xfrm>
                            <a:off x="0" y="0"/>
                            <a:ext cx="676275" cy="819150"/>
                          </a:xfrm>
                          <a:prstGeom prst="rect">
                            <a:avLst/>
                          </a:prstGeom>
                          <a:noFill/>
                        </pic:spPr>
                      </pic:pic>
                    </a:graphicData>
                  </a:graphic>
                </wp:anchor>
              </w:drawing>
            </w:r>
          </w:p>
        </w:tc>
        <w:tc>
          <w:tcPr>
            <w:tcW w:w="6021" w:type="dxa"/>
            <w:tcBorders>
              <w:top w:val="nil"/>
              <w:left w:val="nil"/>
              <w:bottom w:val="single" w:color="auto" w:sz="4" w:space="0"/>
              <w:right w:val="nil"/>
            </w:tcBorders>
          </w:tcPr>
          <w:p w14:paraId="18C2F70B">
            <w:pPr>
              <w:contextualSpacing/>
              <w:rPr>
                <w:lang w:val="ro-RO"/>
              </w:rPr>
            </w:pPr>
          </w:p>
          <w:p w14:paraId="32B0AE69">
            <w:pPr>
              <w:pStyle w:val="2"/>
              <w:contextualSpacing/>
              <w:jc w:val="center"/>
              <w:rPr>
                <w:rFonts w:eastAsiaTheme="minorEastAsia"/>
                <w:sz w:val="24"/>
                <w:szCs w:val="24"/>
                <w:lang w:val="it-IT"/>
              </w:rPr>
            </w:pPr>
            <w:r>
              <w:rPr>
                <w:rFonts w:eastAsiaTheme="minorEastAsia"/>
                <w:sz w:val="24"/>
                <w:szCs w:val="24"/>
                <w:lang w:val="it-IT"/>
              </w:rPr>
              <w:t>REPUBLICA  MOLDOVA</w:t>
            </w:r>
          </w:p>
          <w:p w14:paraId="32E776DD">
            <w:pPr>
              <w:pStyle w:val="2"/>
              <w:contextualSpacing/>
              <w:jc w:val="center"/>
              <w:rPr>
                <w:rFonts w:eastAsiaTheme="minorEastAsia"/>
                <w:sz w:val="24"/>
                <w:szCs w:val="24"/>
                <w:lang w:val="it-IT"/>
              </w:rPr>
            </w:pPr>
          </w:p>
          <w:p w14:paraId="6345344E">
            <w:pPr>
              <w:pStyle w:val="2"/>
              <w:contextualSpacing/>
              <w:jc w:val="center"/>
              <w:rPr>
                <w:rFonts w:eastAsiaTheme="minorEastAsia"/>
                <w:sz w:val="24"/>
                <w:szCs w:val="24"/>
                <w:lang w:val="it-IT"/>
              </w:rPr>
            </w:pPr>
            <w:r>
              <w:rPr>
                <w:rFonts w:eastAsiaTheme="minorEastAsia"/>
                <w:sz w:val="24"/>
                <w:szCs w:val="24"/>
                <w:lang w:val="it-IT"/>
              </w:rPr>
              <w:t>CONSILIUL  RAIONAL</w:t>
            </w:r>
          </w:p>
          <w:p w14:paraId="3EEFF2F1">
            <w:pPr>
              <w:pStyle w:val="2"/>
              <w:contextualSpacing/>
              <w:jc w:val="center"/>
              <w:rPr>
                <w:rFonts w:eastAsiaTheme="minorEastAsia"/>
                <w:sz w:val="24"/>
                <w:szCs w:val="24"/>
                <w:lang w:val="it-IT"/>
              </w:rPr>
            </w:pPr>
            <w:r>
              <w:rPr>
                <w:sz w:val="24"/>
                <w:szCs w:val="24"/>
                <w:lang w:val="it-IT"/>
              </w:rPr>
              <w:t>S</w:t>
            </w:r>
            <w:r>
              <w:rPr>
                <w:sz w:val="24"/>
                <w:szCs w:val="24"/>
                <w:lang w:val="ro-RO"/>
              </w:rPr>
              <w:t>ÎNGEREI</w:t>
            </w:r>
          </w:p>
        </w:tc>
        <w:tc>
          <w:tcPr>
            <w:tcW w:w="1705" w:type="dxa"/>
            <w:tcBorders>
              <w:top w:val="nil"/>
              <w:left w:val="nil"/>
              <w:bottom w:val="single" w:color="auto" w:sz="4" w:space="0"/>
              <w:right w:val="nil"/>
            </w:tcBorders>
          </w:tcPr>
          <w:p w14:paraId="20BC5458">
            <w:pPr>
              <w:contextualSpacing/>
              <w:jc w:val="center"/>
              <w:rPr>
                <w:lang w:val="it-IT"/>
              </w:rPr>
            </w:pPr>
            <w:r>
              <w:drawing>
                <wp:anchor distT="0" distB="0" distL="114300" distR="114300" simplePos="0" relativeHeight="251662336" behindDoc="1" locked="0" layoutInCell="1" allowOverlap="1">
                  <wp:simplePos x="0" y="0"/>
                  <wp:positionH relativeFrom="column">
                    <wp:posOffset>5372100</wp:posOffset>
                  </wp:positionH>
                  <wp:positionV relativeFrom="paragraph">
                    <wp:posOffset>114300</wp:posOffset>
                  </wp:positionV>
                  <wp:extent cx="687070" cy="866140"/>
                  <wp:effectExtent l="0" t="0" r="17780" b="1016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7" cstate="print"/>
                          <a:srcRect/>
                          <a:stretch>
                            <a:fillRect/>
                          </a:stretch>
                        </pic:blipFill>
                        <pic:spPr>
                          <a:xfrm>
                            <a:off x="0" y="0"/>
                            <a:ext cx="687070" cy="866140"/>
                          </a:xfrm>
                          <a:prstGeom prst="rect">
                            <a:avLst/>
                          </a:prstGeom>
                          <a:noFill/>
                        </pic:spPr>
                      </pic:pic>
                    </a:graphicData>
                  </a:graphic>
                </wp:anchor>
              </w:drawing>
            </w:r>
          </w:p>
          <w:p w14:paraId="393794E5">
            <w:pPr>
              <w:contextualSpacing/>
              <w:jc w:val="center"/>
              <w:rPr>
                <w:sz w:val="18"/>
                <w:szCs w:val="18"/>
              </w:rPr>
            </w:pPr>
            <w:r>
              <w:rPr>
                <w:b/>
                <w:sz w:val="20"/>
                <w:szCs w:val="20"/>
              </w:rPr>
              <w:drawing>
                <wp:inline distT="0" distB="0" distL="0" distR="0">
                  <wp:extent cx="670560" cy="858520"/>
                  <wp:effectExtent l="0" t="0" r="15240" b="1778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
                          <pic:cNvPicPr>
                            <a:picLocks noChangeAspect="1" noChangeArrowheads="1"/>
                          </pic:cNvPicPr>
                        </pic:nvPicPr>
                        <pic:blipFill>
                          <a:blip r:embed="rId9" cstate="print"/>
                          <a:srcRect/>
                          <a:stretch>
                            <a:fillRect/>
                          </a:stretch>
                        </pic:blipFill>
                        <pic:spPr>
                          <a:xfrm>
                            <a:off x="0" y="0"/>
                            <a:ext cx="700988" cy="897705"/>
                          </a:xfrm>
                          <a:prstGeom prst="rect">
                            <a:avLst/>
                          </a:prstGeom>
                          <a:noFill/>
                          <a:ln w="9525">
                            <a:noFill/>
                            <a:miter lim="800000"/>
                            <a:headEnd/>
                            <a:tailEnd/>
                          </a:ln>
                        </pic:spPr>
                      </pic:pic>
                    </a:graphicData>
                  </a:graphic>
                </wp:inline>
              </w:drawing>
            </w:r>
          </w:p>
        </w:tc>
      </w:tr>
      <w:tr w14:paraId="12A5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720" w:type="dxa"/>
            <w:gridSpan w:val="3"/>
            <w:tcBorders>
              <w:top w:val="single" w:color="auto" w:sz="4" w:space="0"/>
              <w:left w:val="nil"/>
              <w:bottom w:val="thinThickSmallGap" w:color="auto" w:sz="24" w:space="0"/>
              <w:right w:val="nil"/>
            </w:tcBorders>
          </w:tcPr>
          <w:p w14:paraId="562F94A3">
            <w:pPr>
              <w:contextualSpacing/>
              <w:rPr>
                <w:b/>
                <w:lang w:val="ro-RO"/>
              </w:rPr>
            </w:pPr>
          </w:p>
        </w:tc>
      </w:tr>
    </w:tbl>
    <w:p w14:paraId="2D1B4B20">
      <w:pPr>
        <w:pStyle w:val="2"/>
        <w:tabs>
          <w:tab w:val="left" w:pos="567"/>
        </w:tabs>
        <w:jc w:val="center"/>
        <w:rPr>
          <w:bCs/>
          <w:sz w:val="22"/>
          <w:szCs w:val="22"/>
          <w:lang w:val="fr-FR"/>
        </w:rPr>
      </w:pPr>
      <w:r>
        <w:rPr>
          <w:bCs/>
          <w:sz w:val="22"/>
          <w:szCs w:val="22"/>
          <w:lang w:val="fr-FR"/>
        </w:rPr>
        <w:t>PROIECT DE DECIZIE Nr. _____</w:t>
      </w:r>
    </w:p>
    <w:p w14:paraId="0B1DD781">
      <w:pPr>
        <w:jc w:val="center"/>
        <w:rPr>
          <w:b/>
          <w:bCs/>
          <w:sz w:val="22"/>
          <w:szCs w:val="22"/>
          <w:lang w:val="ro-RO"/>
        </w:rPr>
      </w:pPr>
      <w:r>
        <w:rPr>
          <w:b/>
          <w:bCs/>
          <w:sz w:val="22"/>
          <w:szCs w:val="22"/>
          <w:lang w:val="ro-RO"/>
        </w:rPr>
        <w:t>din “______”____________ 2026</w:t>
      </w:r>
    </w:p>
    <w:p w14:paraId="12E13147">
      <w:pPr>
        <w:jc w:val="center"/>
        <w:rPr>
          <w:b/>
          <w:bCs/>
          <w:sz w:val="22"/>
          <w:szCs w:val="22"/>
          <w:lang w:val="ro-RO"/>
        </w:rPr>
      </w:pPr>
      <w:r>
        <w:rPr>
          <w:b/>
          <w:bCs/>
          <w:sz w:val="22"/>
          <w:szCs w:val="22"/>
          <w:lang w:val="ro-RO"/>
        </w:rPr>
        <w:t>or. Sîngerei</w:t>
      </w:r>
    </w:p>
    <w:p w14:paraId="642C3A39">
      <w:pPr>
        <w:rPr>
          <w:b/>
          <w:sz w:val="13"/>
          <w:szCs w:val="13"/>
          <w:lang w:val="en-US"/>
        </w:rPr>
      </w:pPr>
    </w:p>
    <w:p w14:paraId="6994802C">
      <w:pPr>
        <w:tabs>
          <w:tab w:val="left" w:pos="567"/>
        </w:tabs>
        <w:contextualSpacing/>
        <w:jc w:val="both"/>
        <w:rPr>
          <w:b/>
          <w:lang w:val="en-US"/>
        </w:rPr>
      </w:pPr>
      <w:r>
        <w:rPr>
          <w:b/>
          <w:lang w:val="en-US"/>
        </w:rPr>
        <w:t>Cu privire la gestionarea locuințelor sociale din blocul locativ situat pe str.</w:t>
      </w:r>
    </w:p>
    <w:p w14:paraId="622B377D">
      <w:pPr>
        <w:tabs>
          <w:tab w:val="left" w:pos="567"/>
        </w:tabs>
        <w:contextualSpacing/>
        <w:jc w:val="both"/>
        <w:rPr>
          <w:b/>
          <w:lang w:val="en-US"/>
        </w:rPr>
      </w:pPr>
      <w:r>
        <w:rPr>
          <w:b/>
          <w:lang w:val="en-US"/>
        </w:rPr>
        <w:t>Independenței 75 A, or. Sîngerei</w:t>
      </w:r>
    </w:p>
    <w:p w14:paraId="2A1A05AE">
      <w:pPr>
        <w:tabs>
          <w:tab w:val="left" w:pos="567"/>
        </w:tabs>
        <w:contextualSpacing/>
        <w:jc w:val="both"/>
        <w:rPr>
          <w:b/>
          <w:sz w:val="16"/>
          <w:szCs w:val="16"/>
          <w:lang w:val="en-US"/>
        </w:rPr>
      </w:pPr>
    </w:p>
    <w:p w14:paraId="796DECE3">
      <w:pPr>
        <w:tabs>
          <w:tab w:val="left" w:pos="567"/>
        </w:tabs>
        <w:contextualSpacing/>
        <w:jc w:val="both"/>
        <w:rPr>
          <w:lang w:val="en-US"/>
        </w:rPr>
      </w:pPr>
      <w:r>
        <w:rPr>
          <w:lang w:val="ro-RO"/>
        </w:rPr>
        <w:tab/>
      </w:r>
      <w:r>
        <w:rPr>
          <w:lang w:val="ro-RO"/>
        </w:rPr>
        <w:t>Având în vedere: Nota de fundamentare cu privire la gestionarea locuințelor sociale din blocul locativ situat pe str. Independenței 75 A, or. Sîngerei</w:t>
      </w:r>
      <w:r>
        <w:rPr>
          <w:rFonts w:eastAsiaTheme="minorHAnsi"/>
          <w:shd w:val="clear" w:color="auto" w:fill="FFFFFF"/>
          <w:lang w:val="en-US" w:eastAsia="en-US"/>
        </w:rPr>
        <w:t>;</w:t>
      </w:r>
    </w:p>
    <w:p w14:paraId="05C24FE0">
      <w:pPr>
        <w:pStyle w:val="19"/>
        <w:tabs>
          <w:tab w:val="left" w:pos="0"/>
          <w:tab w:val="left" w:pos="567"/>
        </w:tabs>
        <w:jc w:val="both"/>
        <w:rPr>
          <w:b/>
          <w:sz w:val="24"/>
          <w:szCs w:val="24"/>
          <w:lang w:val="ro-RO"/>
        </w:rPr>
      </w:pPr>
      <w:r>
        <w:rPr>
          <w:sz w:val="24"/>
          <w:szCs w:val="24"/>
          <w:lang w:val="ro-RO"/>
        </w:rPr>
        <w:tab/>
      </w:r>
      <w:r>
        <w:rPr>
          <w:rFonts w:ascii="Times New Roman" w:hAnsi="Times New Roman"/>
          <w:sz w:val="24"/>
          <w:szCs w:val="24"/>
          <w:lang w:val="ro-RO"/>
        </w:rPr>
        <w:t xml:space="preserve">În temeiul art. 43 alin. (1) lit. h) și alin. (2) al Legii privind administraţia publică locală nr. 436/2006, Legii nr. 75/2015 </w:t>
      </w:r>
      <w:r>
        <w:rPr>
          <w:rFonts w:ascii="Times New Roman" w:hAnsi="Times New Roman"/>
          <w:bCs/>
          <w:sz w:val="24"/>
          <w:szCs w:val="24"/>
        </w:rPr>
        <w:t xml:space="preserve">cu privire la locuinţe, </w:t>
      </w:r>
      <w:r>
        <w:rPr>
          <w:rFonts w:ascii="Times New Roman" w:hAnsi="Times New Roman"/>
          <w:sz w:val="24"/>
          <w:szCs w:val="24"/>
          <w:lang w:val="ro-RO"/>
        </w:rPr>
        <w:t>Hotărârii Guvernului nr. 447/2017 pentru aprobarea Regulamentului cu privire la evidența, modul de atribuire și folosire a locuințelor sociale;</w:t>
      </w:r>
      <w:r>
        <w:rPr>
          <w:sz w:val="24"/>
          <w:szCs w:val="24"/>
          <w:lang w:val="ro-RO"/>
        </w:rPr>
        <w:t xml:space="preserve"> </w:t>
      </w:r>
      <w:r>
        <w:rPr>
          <w:rFonts w:ascii="Times New Roman" w:hAnsi="Times New Roman"/>
          <w:sz w:val="24"/>
          <w:szCs w:val="24"/>
          <w:lang w:val="ro-RO"/>
        </w:rPr>
        <w:t xml:space="preserve">Decizia nr. 5/17 din 29.06.2023 „Cu privire la aprobarea Regulamentului de funcționare a Comisiei consultative pentru domeniul locuințelor a Consiliului Raional Sîngerei și modul de atribuire a locuințelor sociale în raionul Sîngerei”, cu modificările ulterioare, </w:t>
      </w:r>
      <w:r>
        <w:rPr>
          <w:rFonts w:ascii="Times New Roman" w:hAnsi="Times New Roman"/>
          <w:sz w:val="24"/>
          <w:szCs w:val="24"/>
          <w:lang w:val="it-IT"/>
        </w:rPr>
        <w:t xml:space="preserve">Procesul-Verbal nr. 5 din 21.05.2026 al Comisiei </w:t>
      </w:r>
      <w:r>
        <w:rPr>
          <w:rFonts w:ascii="Times New Roman" w:hAnsi="Times New Roman"/>
          <w:sz w:val="24"/>
          <w:szCs w:val="24"/>
        </w:rPr>
        <w:t>consultative pentru domeniul locuințelor</w:t>
      </w:r>
      <w:r>
        <w:rPr>
          <w:rFonts w:ascii="Times New Roman" w:hAnsi="Times New Roman"/>
          <w:sz w:val="24"/>
          <w:szCs w:val="24"/>
          <w:lang w:val="it-IT"/>
        </w:rPr>
        <w:t>,</w:t>
      </w:r>
      <w:r>
        <w:rPr>
          <w:rFonts w:hint="default" w:ascii="Times New Roman" w:hAnsi="Times New Roman"/>
          <w:sz w:val="24"/>
          <w:szCs w:val="24"/>
          <w:lang w:val="ro-RO"/>
        </w:rPr>
        <w:t xml:space="preserve"> </w:t>
      </w:r>
      <w:r>
        <w:rPr>
          <w:rFonts w:ascii="Times New Roman" w:hAnsi="Times New Roman"/>
          <w:b/>
          <w:sz w:val="24"/>
          <w:szCs w:val="24"/>
          <w:lang w:val="ro-RO"/>
        </w:rPr>
        <w:t>Consiliul raional,</w:t>
      </w:r>
      <w:r>
        <w:rPr>
          <w:b/>
          <w:sz w:val="24"/>
          <w:szCs w:val="24"/>
          <w:lang w:val="ro-RO"/>
        </w:rPr>
        <w:t xml:space="preserve">  </w:t>
      </w:r>
    </w:p>
    <w:p w14:paraId="190BB4FD">
      <w:pPr>
        <w:pStyle w:val="19"/>
        <w:tabs>
          <w:tab w:val="left" w:pos="0"/>
        </w:tabs>
        <w:jc w:val="center"/>
        <w:rPr>
          <w:rFonts w:ascii="Times New Roman" w:hAnsi="Times New Roman"/>
          <w:b/>
          <w:sz w:val="18"/>
          <w:szCs w:val="18"/>
          <w:lang w:val="ro-RO"/>
        </w:rPr>
      </w:pPr>
    </w:p>
    <w:p w14:paraId="0A7EFB60">
      <w:pPr>
        <w:pStyle w:val="19"/>
        <w:tabs>
          <w:tab w:val="left" w:pos="0"/>
        </w:tabs>
        <w:jc w:val="center"/>
        <w:rPr>
          <w:rFonts w:ascii="Times New Roman" w:hAnsi="Times New Roman"/>
          <w:b/>
          <w:sz w:val="24"/>
          <w:szCs w:val="24"/>
          <w:lang w:val="ro-RO"/>
        </w:rPr>
      </w:pPr>
      <w:r>
        <w:rPr>
          <w:rFonts w:ascii="Times New Roman" w:hAnsi="Times New Roman"/>
          <w:b/>
          <w:sz w:val="24"/>
          <w:szCs w:val="24"/>
          <w:lang w:val="ro-RO"/>
        </w:rPr>
        <w:t>D E C I D E:</w:t>
      </w:r>
    </w:p>
    <w:p w14:paraId="2B9A9E05">
      <w:pPr>
        <w:pStyle w:val="16"/>
        <w:numPr>
          <w:ilvl w:val="0"/>
          <w:numId w:val="3"/>
        </w:numPr>
        <w:tabs>
          <w:tab w:val="left" w:pos="0"/>
          <w:tab w:val="left" w:pos="851"/>
        </w:tabs>
        <w:ind w:left="0" w:firstLine="567"/>
        <w:contextualSpacing/>
        <w:jc w:val="both"/>
        <w:rPr>
          <w:lang w:val="ro-RO"/>
        </w:rPr>
      </w:pPr>
      <w:r>
        <w:rPr>
          <w:lang w:val="en-US"/>
        </w:rPr>
        <w:t>Se ia act de Procesul-Verbal nr. 5 din 21.05.2026 al Comisiei consultative pentru domeniul locuințelor.</w:t>
      </w:r>
    </w:p>
    <w:p w14:paraId="04A05F04">
      <w:pPr>
        <w:numPr>
          <w:ilvl w:val="0"/>
          <w:numId w:val="4"/>
        </w:numPr>
        <w:tabs>
          <w:tab w:val="left" w:pos="142"/>
          <w:tab w:val="left" w:pos="851"/>
          <w:tab w:val="clear" w:pos="928"/>
        </w:tabs>
        <w:ind w:left="0" w:firstLine="567"/>
        <w:jc w:val="both"/>
        <w:rPr>
          <w:lang w:val="en-US"/>
        </w:rPr>
      </w:pPr>
      <w:r>
        <w:rPr>
          <w:lang w:val="en-US"/>
        </w:rPr>
        <w:t>Se aprobă prelungirea contractelor de locațiune a locuințelor sociale pe un termen de 5 (cinci) ani pentru beneficiarii prevăzuți în Anexa nr. 1 la prezenta decizie.</w:t>
      </w:r>
    </w:p>
    <w:p w14:paraId="72AAF332">
      <w:pPr>
        <w:numPr>
          <w:ilvl w:val="0"/>
          <w:numId w:val="4"/>
        </w:numPr>
        <w:tabs>
          <w:tab w:val="left" w:pos="142"/>
          <w:tab w:val="left" w:pos="851"/>
          <w:tab w:val="clear" w:pos="928"/>
        </w:tabs>
        <w:ind w:left="0" w:firstLine="567"/>
        <w:jc w:val="both"/>
        <w:rPr>
          <w:lang w:val="en-US"/>
        </w:rPr>
      </w:pPr>
      <w:r>
        <w:rPr>
          <w:lang w:val="en-US"/>
        </w:rPr>
        <w:t>Se respinge prelungirea contractelor de locațiune pentru beneficiarii indicați în Anexa nr. 2 la prezenta decizie, ca urmare a expirării termenului acestora și neîntrunirii condițiilor legale pentru menținerea dreptului de folosință asupra locuințelor sociale.</w:t>
      </w:r>
    </w:p>
    <w:p w14:paraId="4945DB7E">
      <w:pPr>
        <w:pStyle w:val="12"/>
        <w:numPr>
          <w:ilvl w:val="0"/>
          <w:numId w:val="4"/>
        </w:numPr>
        <w:tabs>
          <w:tab w:val="left" w:pos="0"/>
          <w:tab w:val="left" w:pos="142"/>
          <w:tab w:val="left" w:pos="426"/>
          <w:tab w:val="left" w:pos="709"/>
          <w:tab w:val="left" w:pos="851"/>
          <w:tab w:val="left" w:pos="993"/>
          <w:tab w:val="clear" w:pos="928"/>
        </w:tabs>
        <w:spacing w:before="0" w:beforeAutospacing="0" w:after="0" w:afterAutospacing="0"/>
        <w:ind w:left="0" w:firstLine="567"/>
        <w:jc w:val="both"/>
        <w:rPr>
          <w:lang w:val="fr-FR"/>
        </w:rPr>
      </w:pPr>
      <w:r>
        <w:rPr>
          <w:lang w:val="en-US"/>
        </w:rPr>
        <w:t>Se dispune excluderea din evidența persoanelor care necesită locuințe sociale a beneficiarilor indicați în Anexa nr. 2, ca urmare a pierderii condițiilor de eligibilitate, a îmbunătățirii condițiilor locative sau a altor circumstanțe prevăzute de Legea nr. 75/2015 cu privire la locuințe.</w:t>
      </w:r>
    </w:p>
    <w:p w14:paraId="581607D6">
      <w:pPr>
        <w:pStyle w:val="16"/>
        <w:numPr>
          <w:ilvl w:val="0"/>
          <w:numId w:val="4"/>
        </w:numPr>
        <w:tabs>
          <w:tab w:val="left" w:pos="0"/>
          <w:tab w:val="left" w:pos="142"/>
          <w:tab w:val="left" w:pos="709"/>
          <w:tab w:val="left" w:pos="851"/>
          <w:tab w:val="clear" w:pos="928"/>
        </w:tabs>
        <w:ind w:left="0" w:firstLine="567"/>
        <w:jc w:val="both"/>
        <w:rPr>
          <w:lang w:val="fr-FR"/>
        </w:rPr>
      </w:pPr>
      <w:r>
        <w:rPr>
          <w:lang w:val="en-US"/>
        </w:rPr>
        <w:t>Se împuternicesc Președintele raionului Sîngerei, dl Cristian Cainarian, și reprezentantul Consiliului raional Sîngerei, d</w:t>
      </w:r>
      <w:r>
        <w:rPr>
          <w:rFonts w:hint="default"/>
          <w:lang w:val="ro-RO"/>
        </w:rPr>
        <w:t>l</w:t>
      </w:r>
      <w:r>
        <w:rPr>
          <w:lang w:val="en-US"/>
        </w:rPr>
        <w:t xml:space="preserve"> </w:t>
      </w:r>
      <w:r>
        <w:rPr>
          <w:rFonts w:hint="default"/>
          <w:lang w:val="ro-RO"/>
        </w:rPr>
        <w:t>Cătălin Sandu</w:t>
      </w:r>
      <w:r>
        <w:rPr>
          <w:lang w:val="en-US"/>
        </w:rPr>
        <w:t>, să întreprindă toate măsurile legale necesare pentru executarea prezentei decizii, inclusiv prin promovarea acțiunilor în instanța de judecată privind eliberarea locuințelor sociale și recuperarea creanțelor aferente.</w:t>
      </w:r>
    </w:p>
    <w:p w14:paraId="5CA299F7">
      <w:pPr>
        <w:pStyle w:val="16"/>
        <w:numPr>
          <w:ilvl w:val="0"/>
          <w:numId w:val="4"/>
        </w:numPr>
        <w:tabs>
          <w:tab w:val="left" w:pos="0"/>
          <w:tab w:val="left" w:pos="142"/>
          <w:tab w:val="left" w:pos="709"/>
          <w:tab w:val="left" w:pos="851"/>
          <w:tab w:val="clear" w:pos="928"/>
        </w:tabs>
        <w:ind w:left="0" w:firstLine="567"/>
        <w:jc w:val="both"/>
        <w:rPr>
          <w:lang w:val="fr-FR"/>
        </w:rPr>
      </w:pPr>
      <w:r>
        <w:rPr>
          <w:lang w:val="fr-FR"/>
        </w:rPr>
        <w:t xml:space="preserve">Se autorizează Președintele raionului (dl Cristian CAINARIAN) să încheie contractele de locațiune </w:t>
      </w:r>
      <w:r>
        <w:rPr>
          <w:lang w:val="en-US"/>
        </w:rPr>
        <w:t>a locuințelor sociale cu beneficiarii desemnați prin prezenta decizie și să semneze actele necesare executării acesteia.</w:t>
      </w:r>
    </w:p>
    <w:p w14:paraId="758B218F">
      <w:pPr>
        <w:pStyle w:val="16"/>
        <w:numPr>
          <w:ilvl w:val="0"/>
          <w:numId w:val="4"/>
        </w:numPr>
        <w:tabs>
          <w:tab w:val="left" w:pos="0"/>
          <w:tab w:val="left" w:pos="142"/>
          <w:tab w:val="left" w:pos="709"/>
          <w:tab w:val="left" w:pos="851"/>
          <w:tab w:val="clear" w:pos="928"/>
        </w:tabs>
        <w:ind w:left="0" w:firstLine="567"/>
        <w:jc w:val="both"/>
        <w:rPr>
          <w:lang w:val="fr-FR"/>
        </w:rPr>
      </w:pPr>
      <w:r>
        <w:rPr>
          <w:lang w:val="it-IT"/>
        </w:rPr>
        <w:t xml:space="preserve">Controlul asupra realizării prezentei decizii se pune în sarcina Președintelui Comisiei consultative pentru Învăţămînt, cultură, sport, tineret, ocrotirea sănătăţii, problemele sociale, turism şi culte (dna A. Tabarcea) și Președintelui Comisiei consultative pentru </w:t>
      </w:r>
      <w:r>
        <w:rPr>
          <w:bCs/>
          <w:lang w:val="it-IT"/>
        </w:rPr>
        <w:t>Construcţii, arhitectură, gospodărie comunală, energie şi protecţia mediului</w:t>
      </w:r>
      <w:r>
        <w:rPr>
          <w:spacing w:val="-2"/>
          <w:lang w:val="it-IT"/>
        </w:rPr>
        <w:t xml:space="preserve"> (dl V. Luca).</w:t>
      </w:r>
    </w:p>
    <w:p w14:paraId="163933A9">
      <w:pPr>
        <w:pStyle w:val="16"/>
        <w:numPr>
          <w:ilvl w:val="0"/>
          <w:numId w:val="4"/>
        </w:numPr>
        <w:tabs>
          <w:tab w:val="left" w:pos="0"/>
          <w:tab w:val="left" w:pos="142"/>
          <w:tab w:val="left" w:pos="709"/>
          <w:tab w:val="left" w:pos="851"/>
          <w:tab w:val="clear" w:pos="928"/>
        </w:tabs>
        <w:ind w:left="0" w:firstLine="567"/>
        <w:jc w:val="both"/>
        <w:rPr>
          <w:lang w:val="fr-FR"/>
        </w:rPr>
      </w:pPr>
      <w:r>
        <w:rPr>
          <w:lang w:val="ro-RO"/>
        </w:rPr>
        <w:t xml:space="preserve"> Prezenta decizie poate fi contestată la Judecătoria Bălți (sediul Central, str. Hotinului, nr. 43) în termen de 30 zile de la data comunicării, potrivit prevederilor Codului Administrativ al Republicii Moldova nr. 116/2018.</w:t>
      </w:r>
    </w:p>
    <w:p w14:paraId="29C73D30">
      <w:pPr>
        <w:pStyle w:val="16"/>
        <w:tabs>
          <w:tab w:val="left" w:pos="1134"/>
        </w:tabs>
        <w:ind w:left="0"/>
        <w:contextualSpacing/>
        <w:jc w:val="center"/>
        <w:rPr>
          <w:rFonts w:eastAsia="Calibri"/>
          <w:bCs/>
          <w:sz w:val="21"/>
          <w:szCs w:val="21"/>
          <w:lang w:val="ro-RO" w:eastAsia="en-US"/>
        </w:rPr>
      </w:pPr>
      <w:r>
        <w:rPr>
          <w:b/>
          <w:sz w:val="21"/>
          <w:szCs w:val="21"/>
          <w:lang w:val="ro-RO"/>
        </w:rPr>
        <w:t>PREȘEDINTE</w:t>
      </w:r>
    </w:p>
    <w:p w14:paraId="5B831C00">
      <w:pPr>
        <w:jc w:val="center"/>
        <w:rPr>
          <w:b/>
          <w:sz w:val="21"/>
          <w:szCs w:val="21"/>
          <w:lang w:val="ro-RO"/>
        </w:rPr>
      </w:pPr>
      <w:r>
        <w:rPr>
          <w:b/>
          <w:sz w:val="21"/>
          <w:szCs w:val="21"/>
          <w:lang w:val="ro-RO"/>
        </w:rPr>
        <w:t>Cristian CAINARIAN</w:t>
      </w:r>
    </w:p>
    <w:p w14:paraId="4FD6035E">
      <w:pPr>
        <w:pStyle w:val="16"/>
        <w:tabs>
          <w:tab w:val="left" w:pos="1134"/>
        </w:tabs>
        <w:ind w:left="0"/>
        <w:contextualSpacing/>
        <w:jc w:val="center"/>
        <w:rPr>
          <w:b/>
          <w:sz w:val="21"/>
          <w:szCs w:val="21"/>
          <w:lang w:val="ro-RO"/>
        </w:rPr>
      </w:pPr>
      <w:r>
        <w:rPr>
          <w:b/>
          <w:sz w:val="21"/>
          <w:szCs w:val="21"/>
          <w:lang w:val="ro-RO"/>
        </w:rPr>
        <w:t>_______________</w:t>
      </w:r>
      <w:bookmarkStart w:id="0" w:name="_GoBack"/>
      <w:bookmarkEnd w:id="0"/>
      <w:r>
        <w:rPr>
          <w:b/>
          <w:sz w:val="21"/>
          <w:szCs w:val="21"/>
          <w:lang w:val="ro-RO"/>
        </w:rPr>
        <w:t>_______</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5104"/>
      </w:tblGrid>
      <w:tr w14:paraId="4CDC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785" w:type="dxa"/>
          </w:tcPr>
          <w:p w14:paraId="1149FA1C">
            <w:pPr>
              <w:jc w:val="center"/>
              <w:rPr>
                <w:b/>
                <w:sz w:val="21"/>
                <w:szCs w:val="21"/>
                <w:lang w:val="en-US"/>
              </w:rPr>
            </w:pPr>
            <w:r>
              <w:rPr>
                <w:b/>
                <w:sz w:val="21"/>
                <w:szCs w:val="21"/>
                <w:lang w:val="en-US"/>
              </w:rPr>
              <w:t>CONTRASEMNEAZĂ/ÎNTOCMIT</w:t>
            </w:r>
          </w:p>
          <w:p w14:paraId="5E0CD10C">
            <w:pPr>
              <w:jc w:val="center"/>
              <w:rPr>
                <w:b/>
                <w:sz w:val="21"/>
                <w:szCs w:val="21"/>
                <w:lang w:val="ro-RO"/>
              </w:rPr>
            </w:pPr>
            <w:r>
              <w:rPr>
                <w:b/>
                <w:sz w:val="21"/>
                <w:szCs w:val="21"/>
                <w:lang w:val="ro-RO"/>
              </w:rPr>
              <w:t>Secretară interimară a Consiliului raional</w:t>
            </w:r>
          </w:p>
          <w:p w14:paraId="1E3E7AF8">
            <w:pPr>
              <w:jc w:val="center"/>
              <w:rPr>
                <w:b/>
                <w:sz w:val="21"/>
                <w:szCs w:val="21"/>
                <w:lang w:val="en-US"/>
              </w:rPr>
            </w:pPr>
            <w:r>
              <w:rPr>
                <w:b/>
                <w:sz w:val="21"/>
                <w:szCs w:val="21"/>
                <w:lang w:val="en-US"/>
              </w:rPr>
              <w:t>Angela MIHALIUC</w:t>
            </w:r>
            <w:r>
              <w:rPr>
                <w:sz w:val="21"/>
                <w:szCs w:val="21"/>
                <w:lang w:val="en-US"/>
              </w:rPr>
              <w:t>______________</w:t>
            </w:r>
            <w:r>
              <w:rPr>
                <w:b/>
                <w:sz w:val="21"/>
                <w:szCs w:val="21"/>
                <w:lang w:val="es-ES"/>
              </w:rPr>
              <w:t xml:space="preserve">                                                                     </w:t>
            </w:r>
          </w:p>
        </w:tc>
        <w:tc>
          <w:tcPr>
            <w:tcW w:w="5104" w:type="dxa"/>
          </w:tcPr>
          <w:p w14:paraId="4C6974F4">
            <w:pPr>
              <w:jc w:val="center"/>
              <w:rPr>
                <w:b/>
                <w:sz w:val="21"/>
                <w:szCs w:val="21"/>
                <w:lang w:val="en-US"/>
              </w:rPr>
            </w:pPr>
            <w:r>
              <w:rPr>
                <w:b/>
                <w:sz w:val="21"/>
                <w:szCs w:val="21"/>
                <w:lang w:val="en-US"/>
              </w:rPr>
              <w:t>COORDONAT</w:t>
            </w:r>
          </w:p>
          <w:p w14:paraId="04B8A14A">
            <w:pPr>
              <w:ind w:left="-284"/>
              <w:jc w:val="center"/>
              <w:rPr>
                <w:b/>
                <w:sz w:val="21"/>
                <w:szCs w:val="21"/>
                <w:lang w:val="en-US"/>
              </w:rPr>
            </w:pPr>
            <w:r>
              <w:rPr>
                <w:b/>
                <w:sz w:val="21"/>
                <w:szCs w:val="21"/>
                <w:lang w:val="en-US"/>
              </w:rPr>
              <w:t>Șefă, Secția Juridică și Resurse Umane</w:t>
            </w:r>
          </w:p>
          <w:p w14:paraId="53B7CA64">
            <w:pPr>
              <w:ind w:left="-284"/>
              <w:jc w:val="center"/>
              <w:rPr>
                <w:bCs/>
                <w:iCs/>
                <w:sz w:val="21"/>
                <w:szCs w:val="21"/>
                <w:lang w:val="en-US"/>
              </w:rPr>
            </w:pPr>
            <w:r>
              <w:rPr>
                <w:b/>
                <w:sz w:val="21"/>
                <w:szCs w:val="21"/>
                <w:lang w:val="en-US"/>
              </w:rPr>
              <w:t>Oxana TABARCEA</w:t>
            </w:r>
            <w:r>
              <w:rPr>
                <w:sz w:val="21"/>
                <w:szCs w:val="21"/>
                <w:lang w:val="en-US"/>
              </w:rPr>
              <w:t>_______________</w:t>
            </w:r>
          </w:p>
        </w:tc>
      </w:tr>
      <w:tr w14:paraId="7A67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785" w:type="dxa"/>
          </w:tcPr>
          <w:p w14:paraId="59559857">
            <w:pPr>
              <w:jc w:val="center"/>
              <w:rPr>
                <w:b/>
                <w:sz w:val="21"/>
                <w:szCs w:val="21"/>
                <w:lang w:val="en-US"/>
              </w:rPr>
            </w:pPr>
            <w:r>
              <w:rPr>
                <w:b/>
                <w:sz w:val="21"/>
                <w:szCs w:val="21"/>
                <w:lang w:val="ro-RO"/>
              </w:rPr>
              <w:t xml:space="preserve">        </w:t>
            </w:r>
          </w:p>
        </w:tc>
        <w:tc>
          <w:tcPr>
            <w:tcW w:w="5104" w:type="dxa"/>
          </w:tcPr>
          <w:p w14:paraId="098F6B7C">
            <w:pPr>
              <w:jc w:val="center"/>
              <w:rPr>
                <w:b/>
                <w:sz w:val="21"/>
                <w:szCs w:val="21"/>
                <w:lang w:val="en-US"/>
              </w:rPr>
            </w:pPr>
            <w:r>
              <w:rPr>
                <w:b/>
                <w:sz w:val="21"/>
                <w:szCs w:val="21"/>
                <w:lang w:val="en-US"/>
              </w:rPr>
              <w:t>COORDONAT</w:t>
            </w:r>
          </w:p>
          <w:p w14:paraId="5E1B2E6A">
            <w:pPr>
              <w:ind w:left="-284"/>
              <w:jc w:val="center"/>
              <w:rPr>
                <w:b/>
                <w:sz w:val="21"/>
                <w:szCs w:val="21"/>
                <w:lang w:val="en-US"/>
              </w:rPr>
            </w:pPr>
            <w:r>
              <w:rPr>
                <w:b/>
                <w:sz w:val="21"/>
                <w:szCs w:val="21"/>
                <w:lang w:val="ro-RO"/>
              </w:rPr>
              <w:t>Vicepreședinta raionului</w:t>
            </w:r>
          </w:p>
          <w:p w14:paraId="555A0B11">
            <w:pPr>
              <w:ind w:left="-284"/>
              <w:jc w:val="center"/>
              <w:rPr>
                <w:bCs/>
                <w:iCs/>
                <w:sz w:val="21"/>
                <w:szCs w:val="21"/>
                <w:lang w:val="en-US"/>
              </w:rPr>
            </w:pPr>
            <w:r>
              <w:rPr>
                <w:b/>
                <w:sz w:val="21"/>
                <w:szCs w:val="21"/>
                <w:lang w:val="en-US"/>
              </w:rPr>
              <w:t>Vera SERBUȘCA</w:t>
            </w:r>
            <w:r>
              <w:rPr>
                <w:sz w:val="21"/>
                <w:szCs w:val="21"/>
                <w:lang w:val="en-US"/>
              </w:rPr>
              <w:t>__</w:t>
            </w:r>
            <w:r>
              <w:rPr>
                <w:rFonts w:hint="default"/>
                <w:sz w:val="21"/>
                <w:szCs w:val="21"/>
                <w:lang w:val="ro-RO"/>
              </w:rPr>
              <w:t>_____</w:t>
            </w:r>
            <w:r>
              <w:rPr>
                <w:sz w:val="21"/>
                <w:szCs w:val="21"/>
                <w:lang w:val="en-US"/>
              </w:rPr>
              <w:t>_______</w:t>
            </w:r>
          </w:p>
        </w:tc>
      </w:tr>
    </w:tbl>
    <w:p w14:paraId="7F0F434B">
      <w:pPr>
        <w:pStyle w:val="16"/>
        <w:tabs>
          <w:tab w:val="left" w:pos="1134"/>
        </w:tabs>
        <w:ind w:left="709"/>
        <w:contextualSpacing/>
        <w:jc w:val="center"/>
        <w:rPr>
          <w:lang w:val="ro-RO"/>
        </w:rPr>
      </w:pPr>
    </w:p>
    <w:sectPr>
      <w:pgSz w:w="11906" w:h="16838"/>
      <w:pgMar w:top="397" w:right="794" w:bottom="397" w:left="1361" w:header="709"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1555E"/>
    <w:multiLevelType w:val="multilevel"/>
    <w:tmpl w:val="28B155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9BC4FD0"/>
    <w:multiLevelType w:val="multilevel"/>
    <w:tmpl w:val="59BC4FD0"/>
    <w:lvl w:ilvl="0" w:tentative="0">
      <w:start w:val="2"/>
      <w:numFmt w:val="decimal"/>
      <w:lvlText w:val="%1."/>
      <w:lvlJc w:val="left"/>
      <w:pPr>
        <w:tabs>
          <w:tab w:val="left" w:pos="928"/>
        </w:tabs>
        <w:ind w:left="928" w:hanging="360"/>
      </w:pPr>
      <w:rPr>
        <w:rFonts w:hint="default"/>
        <w:b w:val="0"/>
        <w:sz w:val="22"/>
        <w:lang w:val="fr-FR"/>
      </w:rPr>
    </w:lvl>
    <w:lvl w:ilvl="1" w:tentative="0">
      <w:start w:val="1"/>
      <w:numFmt w:val="decimal"/>
      <w:isLgl/>
      <w:lvlText w:val="%1.%2."/>
      <w:lvlJc w:val="left"/>
      <w:pPr>
        <w:ind w:left="1287" w:hanging="360"/>
      </w:pPr>
      <w:rPr>
        <w:rFonts w:hint="default"/>
        <w:color w:val="auto"/>
        <w:sz w:val="22"/>
      </w:rPr>
    </w:lvl>
    <w:lvl w:ilvl="2" w:tentative="0">
      <w:start w:val="1"/>
      <w:numFmt w:val="decimal"/>
      <w:isLgl/>
      <w:lvlText w:val="%1.%2.%3."/>
      <w:lvlJc w:val="left"/>
      <w:pPr>
        <w:ind w:left="2006" w:hanging="720"/>
      </w:pPr>
      <w:rPr>
        <w:rFonts w:hint="default"/>
        <w:color w:val="auto"/>
      </w:rPr>
    </w:lvl>
    <w:lvl w:ilvl="3" w:tentative="0">
      <w:start w:val="1"/>
      <w:numFmt w:val="decimal"/>
      <w:isLgl/>
      <w:lvlText w:val="%1.%2.%3.%4."/>
      <w:lvlJc w:val="left"/>
      <w:pPr>
        <w:ind w:left="2365" w:hanging="720"/>
      </w:pPr>
      <w:rPr>
        <w:rFonts w:hint="default"/>
        <w:color w:val="auto"/>
      </w:rPr>
    </w:lvl>
    <w:lvl w:ilvl="4" w:tentative="0">
      <w:start w:val="1"/>
      <w:numFmt w:val="decimal"/>
      <w:isLgl/>
      <w:lvlText w:val="%1.%2.%3.%4.%5."/>
      <w:lvlJc w:val="left"/>
      <w:pPr>
        <w:ind w:left="3084" w:hanging="1080"/>
      </w:pPr>
      <w:rPr>
        <w:rFonts w:hint="default"/>
        <w:color w:val="auto"/>
      </w:rPr>
    </w:lvl>
    <w:lvl w:ilvl="5" w:tentative="0">
      <w:start w:val="1"/>
      <w:numFmt w:val="decimal"/>
      <w:isLgl/>
      <w:lvlText w:val="%1.%2.%3.%4.%5.%6."/>
      <w:lvlJc w:val="left"/>
      <w:pPr>
        <w:ind w:left="3443" w:hanging="1080"/>
      </w:pPr>
      <w:rPr>
        <w:rFonts w:hint="default"/>
        <w:color w:val="auto"/>
      </w:rPr>
    </w:lvl>
    <w:lvl w:ilvl="6" w:tentative="0">
      <w:start w:val="1"/>
      <w:numFmt w:val="decimal"/>
      <w:isLgl/>
      <w:lvlText w:val="%1.%2.%3.%4.%5.%6.%7."/>
      <w:lvlJc w:val="left"/>
      <w:pPr>
        <w:ind w:left="4162" w:hanging="1440"/>
      </w:pPr>
      <w:rPr>
        <w:rFonts w:hint="default"/>
        <w:color w:val="auto"/>
      </w:rPr>
    </w:lvl>
    <w:lvl w:ilvl="7" w:tentative="0">
      <w:start w:val="1"/>
      <w:numFmt w:val="decimal"/>
      <w:isLgl/>
      <w:lvlText w:val="%1.%2.%3.%4.%5.%6.%7.%8."/>
      <w:lvlJc w:val="left"/>
      <w:pPr>
        <w:ind w:left="4521" w:hanging="1440"/>
      </w:pPr>
      <w:rPr>
        <w:rFonts w:hint="default"/>
        <w:color w:val="auto"/>
      </w:rPr>
    </w:lvl>
    <w:lvl w:ilvl="8" w:tentative="0">
      <w:start w:val="1"/>
      <w:numFmt w:val="decimal"/>
      <w:isLgl/>
      <w:lvlText w:val="%1.%2.%3.%4.%5.%6.%7.%8.%9."/>
      <w:lvlJc w:val="left"/>
      <w:pPr>
        <w:ind w:left="5240" w:hanging="1800"/>
      </w:pPr>
      <w:rPr>
        <w:rFonts w:hint="default"/>
        <w:color w:val="auto"/>
      </w:rPr>
    </w:lvl>
  </w:abstractNum>
  <w:abstractNum w:abstractNumId="2">
    <w:nsid w:val="6D383B36"/>
    <w:multiLevelType w:val="multilevel"/>
    <w:tmpl w:val="6D383B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ADA48B8"/>
    <w:multiLevelType w:val="multilevel"/>
    <w:tmpl w:val="7ADA48B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B"/>
    <w:rsid w:val="00000BB8"/>
    <w:rsid w:val="00000C1B"/>
    <w:rsid w:val="00005D2A"/>
    <w:rsid w:val="00006A5B"/>
    <w:rsid w:val="00015227"/>
    <w:rsid w:val="00026F4A"/>
    <w:rsid w:val="00032888"/>
    <w:rsid w:val="00037E83"/>
    <w:rsid w:val="00047E4A"/>
    <w:rsid w:val="00056D08"/>
    <w:rsid w:val="00064C3B"/>
    <w:rsid w:val="000667AA"/>
    <w:rsid w:val="00067C75"/>
    <w:rsid w:val="00071467"/>
    <w:rsid w:val="00072323"/>
    <w:rsid w:val="00076F68"/>
    <w:rsid w:val="00080869"/>
    <w:rsid w:val="000873C2"/>
    <w:rsid w:val="00090480"/>
    <w:rsid w:val="0009079A"/>
    <w:rsid w:val="00093E94"/>
    <w:rsid w:val="000952DF"/>
    <w:rsid w:val="00095A8E"/>
    <w:rsid w:val="00095D1E"/>
    <w:rsid w:val="0009668C"/>
    <w:rsid w:val="00096899"/>
    <w:rsid w:val="000971B9"/>
    <w:rsid w:val="000A4E28"/>
    <w:rsid w:val="000B02EC"/>
    <w:rsid w:val="000B5154"/>
    <w:rsid w:val="000D086F"/>
    <w:rsid w:val="000D0971"/>
    <w:rsid w:val="000D5AFE"/>
    <w:rsid w:val="000E1710"/>
    <w:rsid w:val="000E707D"/>
    <w:rsid w:val="001013F7"/>
    <w:rsid w:val="001054F6"/>
    <w:rsid w:val="0010589A"/>
    <w:rsid w:val="00105AB1"/>
    <w:rsid w:val="001145AB"/>
    <w:rsid w:val="001146BE"/>
    <w:rsid w:val="001155DE"/>
    <w:rsid w:val="0012180B"/>
    <w:rsid w:val="00122239"/>
    <w:rsid w:val="00123EA0"/>
    <w:rsid w:val="001321E7"/>
    <w:rsid w:val="00137880"/>
    <w:rsid w:val="00140A4E"/>
    <w:rsid w:val="00142007"/>
    <w:rsid w:val="00142C16"/>
    <w:rsid w:val="00146D81"/>
    <w:rsid w:val="00154EB2"/>
    <w:rsid w:val="00157B28"/>
    <w:rsid w:val="00164759"/>
    <w:rsid w:val="001710F3"/>
    <w:rsid w:val="00174ECD"/>
    <w:rsid w:val="00176BBC"/>
    <w:rsid w:val="001843D6"/>
    <w:rsid w:val="00184413"/>
    <w:rsid w:val="001858A5"/>
    <w:rsid w:val="00187351"/>
    <w:rsid w:val="00195306"/>
    <w:rsid w:val="001A1483"/>
    <w:rsid w:val="001A3E17"/>
    <w:rsid w:val="001A4361"/>
    <w:rsid w:val="001A5381"/>
    <w:rsid w:val="001B6700"/>
    <w:rsid w:val="001B6FB7"/>
    <w:rsid w:val="001B79A3"/>
    <w:rsid w:val="001C2372"/>
    <w:rsid w:val="001C3610"/>
    <w:rsid w:val="001D5342"/>
    <w:rsid w:val="001D5F4C"/>
    <w:rsid w:val="001E14A5"/>
    <w:rsid w:val="001F1579"/>
    <w:rsid w:val="001F1AAB"/>
    <w:rsid w:val="001F4496"/>
    <w:rsid w:val="001F7396"/>
    <w:rsid w:val="001F78C0"/>
    <w:rsid w:val="00211026"/>
    <w:rsid w:val="0021222C"/>
    <w:rsid w:val="00214261"/>
    <w:rsid w:val="00215F14"/>
    <w:rsid w:val="0021794C"/>
    <w:rsid w:val="00221C50"/>
    <w:rsid w:val="0023679F"/>
    <w:rsid w:val="00256AE3"/>
    <w:rsid w:val="002627B7"/>
    <w:rsid w:val="00264028"/>
    <w:rsid w:val="00272119"/>
    <w:rsid w:val="002771BA"/>
    <w:rsid w:val="00282AF6"/>
    <w:rsid w:val="002868CF"/>
    <w:rsid w:val="0028690E"/>
    <w:rsid w:val="002954DC"/>
    <w:rsid w:val="002B012D"/>
    <w:rsid w:val="002B3CF3"/>
    <w:rsid w:val="002C05D4"/>
    <w:rsid w:val="002C192C"/>
    <w:rsid w:val="002C2712"/>
    <w:rsid w:val="002C48A3"/>
    <w:rsid w:val="002C578E"/>
    <w:rsid w:val="002D6CD3"/>
    <w:rsid w:val="002E3761"/>
    <w:rsid w:val="002F34A7"/>
    <w:rsid w:val="002F512B"/>
    <w:rsid w:val="00300C20"/>
    <w:rsid w:val="003017A6"/>
    <w:rsid w:val="0030196D"/>
    <w:rsid w:val="003069F4"/>
    <w:rsid w:val="003070BF"/>
    <w:rsid w:val="00311413"/>
    <w:rsid w:val="003145FF"/>
    <w:rsid w:val="00316577"/>
    <w:rsid w:val="003231E8"/>
    <w:rsid w:val="0032516B"/>
    <w:rsid w:val="00325356"/>
    <w:rsid w:val="0032581E"/>
    <w:rsid w:val="00331390"/>
    <w:rsid w:val="00333ADA"/>
    <w:rsid w:val="00334A2E"/>
    <w:rsid w:val="00337A1F"/>
    <w:rsid w:val="0034542B"/>
    <w:rsid w:val="00346C65"/>
    <w:rsid w:val="0035288F"/>
    <w:rsid w:val="00352FAC"/>
    <w:rsid w:val="003620A5"/>
    <w:rsid w:val="00363F3E"/>
    <w:rsid w:val="0036536D"/>
    <w:rsid w:val="0036729A"/>
    <w:rsid w:val="00367E67"/>
    <w:rsid w:val="00373561"/>
    <w:rsid w:val="00384931"/>
    <w:rsid w:val="003908CC"/>
    <w:rsid w:val="003A0D6F"/>
    <w:rsid w:val="003A2855"/>
    <w:rsid w:val="003A68B4"/>
    <w:rsid w:val="003B2F02"/>
    <w:rsid w:val="003B2F78"/>
    <w:rsid w:val="003B3357"/>
    <w:rsid w:val="003C2BBD"/>
    <w:rsid w:val="003D25AF"/>
    <w:rsid w:val="003D5251"/>
    <w:rsid w:val="003D7580"/>
    <w:rsid w:val="003E033B"/>
    <w:rsid w:val="003E31E8"/>
    <w:rsid w:val="003E4529"/>
    <w:rsid w:val="003E5CF3"/>
    <w:rsid w:val="003E7392"/>
    <w:rsid w:val="003F01FB"/>
    <w:rsid w:val="003F3E95"/>
    <w:rsid w:val="003F7623"/>
    <w:rsid w:val="00400765"/>
    <w:rsid w:val="00410D93"/>
    <w:rsid w:val="0041650A"/>
    <w:rsid w:val="00420407"/>
    <w:rsid w:val="004211D2"/>
    <w:rsid w:val="00424E2E"/>
    <w:rsid w:val="004250A2"/>
    <w:rsid w:val="004425F0"/>
    <w:rsid w:val="00445B78"/>
    <w:rsid w:val="004478ED"/>
    <w:rsid w:val="004545AA"/>
    <w:rsid w:val="00455064"/>
    <w:rsid w:val="00455219"/>
    <w:rsid w:val="004557E5"/>
    <w:rsid w:val="00456547"/>
    <w:rsid w:val="004576D1"/>
    <w:rsid w:val="00473FFF"/>
    <w:rsid w:val="004765F1"/>
    <w:rsid w:val="00477F9B"/>
    <w:rsid w:val="00496459"/>
    <w:rsid w:val="004A42AF"/>
    <w:rsid w:val="004B09C6"/>
    <w:rsid w:val="004B4ECD"/>
    <w:rsid w:val="004C2F3A"/>
    <w:rsid w:val="004C393B"/>
    <w:rsid w:val="004C48F7"/>
    <w:rsid w:val="004D1394"/>
    <w:rsid w:val="004D1566"/>
    <w:rsid w:val="004D3BAD"/>
    <w:rsid w:val="004D46BD"/>
    <w:rsid w:val="004D606D"/>
    <w:rsid w:val="004D7C86"/>
    <w:rsid w:val="004D7F64"/>
    <w:rsid w:val="004E1332"/>
    <w:rsid w:val="004E2D11"/>
    <w:rsid w:val="004E3927"/>
    <w:rsid w:val="004F251E"/>
    <w:rsid w:val="004F254D"/>
    <w:rsid w:val="004F37BA"/>
    <w:rsid w:val="004F5DE2"/>
    <w:rsid w:val="00502611"/>
    <w:rsid w:val="00511692"/>
    <w:rsid w:val="00520A98"/>
    <w:rsid w:val="00525D9B"/>
    <w:rsid w:val="00526F5F"/>
    <w:rsid w:val="00535ED0"/>
    <w:rsid w:val="00537C97"/>
    <w:rsid w:val="005454D2"/>
    <w:rsid w:val="005506C1"/>
    <w:rsid w:val="00553661"/>
    <w:rsid w:val="00555056"/>
    <w:rsid w:val="00563CC4"/>
    <w:rsid w:val="0056655F"/>
    <w:rsid w:val="005735BA"/>
    <w:rsid w:val="00591F8E"/>
    <w:rsid w:val="005C7E16"/>
    <w:rsid w:val="005D771C"/>
    <w:rsid w:val="005E6561"/>
    <w:rsid w:val="005E77B1"/>
    <w:rsid w:val="005E784C"/>
    <w:rsid w:val="005F48C8"/>
    <w:rsid w:val="005F7CE6"/>
    <w:rsid w:val="00603237"/>
    <w:rsid w:val="00603B93"/>
    <w:rsid w:val="00603E09"/>
    <w:rsid w:val="00604745"/>
    <w:rsid w:val="0060617A"/>
    <w:rsid w:val="0061148A"/>
    <w:rsid w:val="0061170F"/>
    <w:rsid w:val="00612356"/>
    <w:rsid w:val="006143B3"/>
    <w:rsid w:val="00616DE6"/>
    <w:rsid w:val="0062282E"/>
    <w:rsid w:val="00626393"/>
    <w:rsid w:val="006341E2"/>
    <w:rsid w:val="0063422D"/>
    <w:rsid w:val="006430EC"/>
    <w:rsid w:val="00644A9B"/>
    <w:rsid w:val="00645889"/>
    <w:rsid w:val="006525A7"/>
    <w:rsid w:val="00652E78"/>
    <w:rsid w:val="00653568"/>
    <w:rsid w:val="00657552"/>
    <w:rsid w:val="0066312D"/>
    <w:rsid w:val="006723C2"/>
    <w:rsid w:val="00685CF3"/>
    <w:rsid w:val="006966F2"/>
    <w:rsid w:val="006A2F78"/>
    <w:rsid w:val="006A3DDB"/>
    <w:rsid w:val="006A439F"/>
    <w:rsid w:val="006B225A"/>
    <w:rsid w:val="006C3AA9"/>
    <w:rsid w:val="006C7C24"/>
    <w:rsid w:val="006D10C8"/>
    <w:rsid w:val="006D1AA0"/>
    <w:rsid w:val="006D6C0B"/>
    <w:rsid w:val="006D7BB5"/>
    <w:rsid w:val="006E213C"/>
    <w:rsid w:val="006E73BF"/>
    <w:rsid w:val="00720299"/>
    <w:rsid w:val="00720557"/>
    <w:rsid w:val="007206AC"/>
    <w:rsid w:val="00730F64"/>
    <w:rsid w:val="00733BB0"/>
    <w:rsid w:val="00734C3E"/>
    <w:rsid w:val="007506EF"/>
    <w:rsid w:val="007517EC"/>
    <w:rsid w:val="0076069B"/>
    <w:rsid w:val="00760DDC"/>
    <w:rsid w:val="0077330A"/>
    <w:rsid w:val="00774884"/>
    <w:rsid w:val="00775173"/>
    <w:rsid w:val="0077647D"/>
    <w:rsid w:val="00780C0E"/>
    <w:rsid w:val="00781047"/>
    <w:rsid w:val="007837B4"/>
    <w:rsid w:val="00791A5D"/>
    <w:rsid w:val="007A0593"/>
    <w:rsid w:val="007A10B6"/>
    <w:rsid w:val="007A5A12"/>
    <w:rsid w:val="007B3BA9"/>
    <w:rsid w:val="007B5C48"/>
    <w:rsid w:val="007D0F7D"/>
    <w:rsid w:val="007D3523"/>
    <w:rsid w:val="007D7666"/>
    <w:rsid w:val="007D7B4B"/>
    <w:rsid w:val="007E5FEB"/>
    <w:rsid w:val="007F4FEF"/>
    <w:rsid w:val="00800057"/>
    <w:rsid w:val="00801E5B"/>
    <w:rsid w:val="00811FBF"/>
    <w:rsid w:val="00812487"/>
    <w:rsid w:val="00814179"/>
    <w:rsid w:val="00820870"/>
    <w:rsid w:val="00822141"/>
    <w:rsid w:val="00823B0F"/>
    <w:rsid w:val="00825574"/>
    <w:rsid w:val="00826D0E"/>
    <w:rsid w:val="00827EDF"/>
    <w:rsid w:val="00837385"/>
    <w:rsid w:val="00840E37"/>
    <w:rsid w:val="00842578"/>
    <w:rsid w:val="00843B09"/>
    <w:rsid w:val="0084405E"/>
    <w:rsid w:val="00845372"/>
    <w:rsid w:val="00850B0C"/>
    <w:rsid w:val="00850E4D"/>
    <w:rsid w:val="00850FC8"/>
    <w:rsid w:val="0086139F"/>
    <w:rsid w:val="008721EA"/>
    <w:rsid w:val="00876FE5"/>
    <w:rsid w:val="00880672"/>
    <w:rsid w:val="00880AE0"/>
    <w:rsid w:val="00880F39"/>
    <w:rsid w:val="00881079"/>
    <w:rsid w:val="00883B17"/>
    <w:rsid w:val="00883DA4"/>
    <w:rsid w:val="00884747"/>
    <w:rsid w:val="008865BB"/>
    <w:rsid w:val="0089171C"/>
    <w:rsid w:val="00892148"/>
    <w:rsid w:val="008B0C82"/>
    <w:rsid w:val="008B1622"/>
    <w:rsid w:val="008B4E16"/>
    <w:rsid w:val="008B5D90"/>
    <w:rsid w:val="008C0D3B"/>
    <w:rsid w:val="008C1669"/>
    <w:rsid w:val="008C38E8"/>
    <w:rsid w:val="008C50AC"/>
    <w:rsid w:val="008C5B1B"/>
    <w:rsid w:val="008D1775"/>
    <w:rsid w:val="008D4F41"/>
    <w:rsid w:val="008E3B59"/>
    <w:rsid w:val="008E5FEE"/>
    <w:rsid w:val="008F2700"/>
    <w:rsid w:val="008F7F7A"/>
    <w:rsid w:val="00902BF8"/>
    <w:rsid w:val="009043A3"/>
    <w:rsid w:val="0091238A"/>
    <w:rsid w:val="009203CD"/>
    <w:rsid w:val="009357CD"/>
    <w:rsid w:val="009400F5"/>
    <w:rsid w:val="00947DE8"/>
    <w:rsid w:val="009676C4"/>
    <w:rsid w:val="00976061"/>
    <w:rsid w:val="009801B4"/>
    <w:rsid w:val="00981661"/>
    <w:rsid w:val="00985733"/>
    <w:rsid w:val="00991464"/>
    <w:rsid w:val="009A2D4B"/>
    <w:rsid w:val="009A5CEB"/>
    <w:rsid w:val="009A6D32"/>
    <w:rsid w:val="009B03CF"/>
    <w:rsid w:val="009B3C54"/>
    <w:rsid w:val="009C2747"/>
    <w:rsid w:val="009C68B2"/>
    <w:rsid w:val="009C76E2"/>
    <w:rsid w:val="009D74AE"/>
    <w:rsid w:val="009E054E"/>
    <w:rsid w:val="009E3292"/>
    <w:rsid w:val="009E4153"/>
    <w:rsid w:val="009E4E08"/>
    <w:rsid w:val="009F3714"/>
    <w:rsid w:val="00A06B69"/>
    <w:rsid w:val="00A1067B"/>
    <w:rsid w:val="00A129AE"/>
    <w:rsid w:val="00A14FA3"/>
    <w:rsid w:val="00A156FE"/>
    <w:rsid w:val="00A24E09"/>
    <w:rsid w:val="00A31D54"/>
    <w:rsid w:val="00A33247"/>
    <w:rsid w:val="00A33889"/>
    <w:rsid w:val="00A42FB2"/>
    <w:rsid w:val="00A52887"/>
    <w:rsid w:val="00A537D3"/>
    <w:rsid w:val="00A53DAC"/>
    <w:rsid w:val="00A5412B"/>
    <w:rsid w:val="00A55B11"/>
    <w:rsid w:val="00A725EA"/>
    <w:rsid w:val="00A74D24"/>
    <w:rsid w:val="00A815D2"/>
    <w:rsid w:val="00A827E5"/>
    <w:rsid w:val="00A90BE2"/>
    <w:rsid w:val="00A90F03"/>
    <w:rsid w:val="00A94642"/>
    <w:rsid w:val="00A96FFE"/>
    <w:rsid w:val="00AA321C"/>
    <w:rsid w:val="00AA43D6"/>
    <w:rsid w:val="00AA548E"/>
    <w:rsid w:val="00AB410A"/>
    <w:rsid w:val="00AB4F3F"/>
    <w:rsid w:val="00AC1452"/>
    <w:rsid w:val="00AC23F1"/>
    <w:rsid w:val="00AC3C92"/>
    <w:rsid w:val="00AC6574"/>
    <w:rsid w:val="00AC7CF9"/>
    <w:rsid w:val="00AD36D4"/>
    <w:rsid w:val="00AE7852"/>
    <w:rsid w:val="00AF79A8"/>
    <w:rsid w:val="00B07EDA"/>
    <w:rsid w:val="00B10330"/>
    <w:rsid w:val="00B10CA8"/>
    <w:rsid w:val="00B21420"/>
    <w:rsid w:val="00B30254"/>
    <w:rsid w:val="00B324B5"/>
    <w:rsid w:val="00B33FE4"/>
    <w:rsid w:val="00B46D3A"/>
    <w:rsid w:val="00B46E10"/>
    <w:rsid w:val="00B55B40"/>
    <w:rsid w:val="00B6129F"/>
    <w:rsid w:val="00B634A2"/>
    <w:rsid w:val="00B64B20"/>
    <w:rsid w:val="00B6697F"/>
    <w:rsid w:val="00B72B1C"/>
    <w:rsid w:val="00B75CDB"/>
    <w:rsid w:val="00B87A73"/>
    <w:rsid w:val="00B9571A"/>
    <w:rsid w:val="00BA3868"/>
    <w:rsid w:val="00BA4C05"/>
    <w:rsid w:val="00BA6D0E"/>
    <w:rsid w:val="00BB1874"/>
    <w:rsid w:val="00BB1E64"/>
    <w:rsid w:val="00BB5370"/>
    <w:rsid w:val="00BB6F8E"/>
    <w:rsid w:val="00BB705B"/>
    <w:rsid w:val="00BC3737"/>
    <w:rsid w:val="00BC39E3"/>
    <w:rsid w:val="00BC4922"/>
    <w:rsid w:val="00BC5DDD"/>
    <w:rsid w:val="00BD4AAF"/>
    <w:rsid w:val="00BE061D"/>
    <w:rsid w:val="00BE1EAF"/>
    <w:rsid w:val="00BF2FBA"/>
    <w:rsid w:val="00BF3500"/>
    <w:rsid w:val="00BF754B"/>
    <w:rsid w:val="00C00D1F"/>
    <w:rsid w:val="00C03400"/>
    <w:rsid w:val="00C07383"/>
    <w:rsid w:val="00C07531"/>
    <w:rsid w:val="00C207C8"/>
    <w:rsid w:val="00C210A5"/>
    <w:rsid w:val="00C218ED"/>
    <w:rsid w:val="00C32394"/>
    <w:rsid w:val="00C32560"/>
    <w:rsid w:val="00C37BA6"/>
    <w:rsid w:val="00C4228D"/>
    <w:rsid w:val="00C42970"/>
    <w:rsid w:val="00C42D02"/>
    <w:rsid w:val="00C43938"/>
    <w:rsid w:val="00C43D5E"/>
    <w:rsid w:val="00C478CB"/>
    <w:rsid w:val="00C5058E"/>
    <w:rsid w:val="00C60B71"/>
    <w:rsid w:val="00C64243"/>
    <w:rsid w:val="00C67458"/>
    <w:rsid w:val="00C72649"/>
    <w:rsid w:val="00C7471D"/>
    <w:rsid w:val="00C77AE8"/>
    <w:rsid w:val="00C82E8D"/>
    <w:rsid w:val="00C86407"/>
    <w:rsid w:val="00C9019A"/>
    <w:rsid w:val="00C91438"/>
    <w:rsid w:val="00C956E1"/>
    <w:rsid w:val="00C971D7"/>
    <w:rsid w:val="00CA0FA6"/>
    <w:rsid w:val="00CA1B45"/>
    <w:rsid w:val="00CB0AC8"/>
    <w:rsid w:val="00CB17AF"/>
    <w:rsid w:val="00CB77B5"/>
    <w:rsid w:val="00CC6C5B"/>
    <w:rsid w:val="00CC7B6E"/>
    <w:rsid w:val="00CD33EF"/>
    <w:rsid w:val="00CD3517"/>
    <w:rsid w:val="00CD702F"/>
    <w:rsid w:val="00CE0186"/>
    <w:rsid w:val="00CE280D"/>
    <w:rsid w:val="00CE31B2"/>
    <w:rsid w:val="00CE59EA"/>
    <w:rsid w:val="00CE6DE1"/>
    <w:rsid w:val="00CE7076"/>
    <w:rsid w:val="00CF2860"/>
    <w:rsid w:val="00CF59F4"/>
    <w:rsid w:val="00CF6243"/>
    <w:rsid w:val="00D01F0B"/>
    <w:rsid w:val="00D17664"/>
    <w:rsid w:val="00D17E45"/>
    <w:rsid w:val="00D206D7"/>
    <w:rsid w:val="00D23E08"/>
    <w:rsid w:val="00D25538"/>
    <w:rsid w:val="00D436C1"/>
    <w:rsid w:val="00D4410E"/>
    <w:rsid w:val="00D44121"/>
    <w:rsid w:val="00D505B5"/>
    <w:rsid w:val="00D52B8D"/>
    <w:rsid w:val="00D53010"/>
    <w:rsid w:val="00D53D8E"/>
    <w:rsid w:val="00D5543B"/>
    <w:rsid w:val="00D60C4C"/>
    <w:rsid w:val="00D62A08"/>
    <w:rsid w:val="00D64EED"/>
    <w:rsid w:val="00D73922"/>
    <w:rsid w:val="00D75BEA"/>
    <w:rsid w:val="00D8094B"/>
    <w:rsid w:val="00D8228A"/>
    <w:rsid w:val="00D8764E"/>
    <w:rsid w:val="00D90827"/>
    <w:rsid w:val="00D935F3"/>
    <w:rsid w:val="00D95BF3"/>
    <w:rsid w:val="00D972FC"/>
    <w:rsid w:val="00DB0213"/>
    <w:rsid w:val="00DB2959"/>
    <w:rsid w:val="00DC0934"/>
    <w:rsid w:val="00DC4AD7"/>
    <w:rsid w:val="00DC5657"/>
    <w:rsid w:val="00DC594D"/>
    <w:rsid w:val="00DC6985"/>
    <w:rsid w:val="00DD366C"/>
    <w:rsid w:val="00DD7301"/>
    <w:rsid w:val="00DE08E3"/>
    <w:rsid w:val="00DE39DE"/>
    <w:rsid w:val="00DE6839"/>
    <w:rsid w:val="00DF185F"/>
    <w:rsid w:val="00DF626E"/>
    <w:rsid w:val="00DF78C2"/>
    <w:rsid w:val="00E022ED"/>
    <w:rsid w:val="00E0559F"/>
    <w:rsid w:val="00E118B9"/>
    <w:rsid w:val="00E15324"/>
    <w:rsid w:val="00E20AF1"/>
    <w:rsid w:val="00E2153D"/>
    <w:rsid w:val="00E21AC2"/>
    <w:rsid w:val="00E22DC9"/>
    <w:rsid w:val="00E23729"/>
    <w:rsid w:val="00E23F78"/>
    <w:rsid w:val="00E330DA"/>
    <w:rsid w:val="00E3733D"/>
    <w:rsid w:val="00E40037"/>
    <w:rsid w:val="00E4234E"/>
    <w:rsid w:val="00E42A51"/>
    <w:rsid w:val="00E43D25"/>
    <w:rsid w:val="00E446C5"/>
    <w:rsid w:val="00E47862"/>
    <w:rsid w:val="00E54F3E"/>
    <w:rsid w:val="00E56900"/>
    <w:rsid w:val="00E57F90"/>
    <w:rsid w:val="00E63F75"/>
    <w:rsid w:val="00E671BE"/>
    <w:rsid w:val="00E71D94"/>
    <w:rsid w:val="00E73229"/>
    <w:rsid w:val="00E7488B"/>
    <w:rsid w:val="00E75AA2"/>
    <w:rsid w:val="00E75F19"/>
    <w:rsid w:val="00E839E6"/>
    <w:rsid w:val="00E84591"/>
    <w:rsid w:val="00E84E98"/>
    <w:rsid w:val="00E97549"/>
    <w:rsid w:val="00EA1BBF"/>
    <w:rsid w:val="00EA1D58"/>
    <w:rsid w:val="00EA5C0E"/>
    <w:rsid w:val="00EA71C1"/>
    <w:rsid w:val="00EB0A92"/>
    <w:rsid w:val="00EB1DD4"/>
    <w:rsid w:val="00EB55B9"/>
    <w:rsid w:val="00EC3318"/>
    <w:rsid w:val="00EC5D97"/>
    <w:rsid w:val="00ED28C2"/>
    <w:rsid w:val="00ED2BFE"/>
    <w:rsid w:val="00EE1071"/>
    <w:rsid w:val="00EE1927"/>
    <w:rsid w:val="00EE5F25"/>
    <w:rsid w:val="00EE618A"/>
    <w:rsid w:val="00EE6D68"/>
    <w:rsid w:val="00EF016B"/>
    <w:rsid w:val="00F20681"/>
    <w:rsid w:val="00F25D98"/>
    <w:rsid w:val="00F26BC9"/>
    <w:rsid w:val="00F2724B"/>
    <w:rsid w:val="00F33BBE"/>
    <w:rsid w:val="00F50C5B"/>
    <w:rsid w:val="00F5314A"/>
    <w:rsid w:val="00F536C8"/>
    <w:rsid w:val="00F54090"/>
    <w:rsid w:val="00F57A18"/>
    <w:rsid w:val="00F57FE1"/>
    <w:rsid w:val="00F627C2"/>
    <w:rsid w:val="00F64C61"/>
    <w:rsid w:val="00F65A8E"/>
    <w:rsid w:val="00F74D3E"/>
    <w:rsid w:val="00F761A4"/>
    <w:rsid w:val="00F77DDC"/>
    <w:rsid w:val="00F85B00"/>
    <w:rsid w:val="00F900C4"/>
    <w:rsid w:val="00F9066C"/>
    <w:rsid w:val="00F92AFC"/>
    <w:rsid w:val="00F9398E"/>
    <w:rsid w:val="00F96C4D"/>
    <w:rsid w:val="00FA2020"/>
    <w:rsid w:val="00FA408D"/>
    <w:rsid w:val="00FA4EB0"/>
    <w:rsid w:val="00FA7568"/>
    <w:rsid w:val="00FB1B08"/>
    <w:rsid w:val="00FB4C52"/>
    <w:rsid w:val="00FB6000"/>
    <w:rsid w:val="00FB7D35"/>
    <w:rsid w:val="00FC0AB0"/>
    <w:rsid w:val="00FC3FCD"/>
    <w:rsid w:val="00FC4F35"/>
    <w:rsid w:val="00FC5A96"/>
    <w:rsid w:val="00FC7305"/>
    <w:rsid w:val="00FD048A"/>
    <w:rsid w:val="00FD39CA"/>
    <w:rsid w:val="00FE2AAA"/>
    <w:rsid w:val="00FE582F"/>
    <w:rsid w:val="00FF0BA4"/>
    <w:rsid w:val="00FF22FB"/>
    <w:rsid w:val="00FF3E6E"/>
    <w:rsid w:val="00FF69C9"/>
    <w:rsid w:val="0EB74D33"/>
    <w:rsid w:val="43806A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5"/>
    <w:qFormat/>
    <w:uiPriority w:val="0"/>
    <w:pPr>
      <w:keepNext/>
      <w:outlineLvl w:val="0"/>
    </w:pPr>
    <w:rPr>
      <w:b/>
      <w:sz w:val="28"/>
      <w:szCs w:val="20"/>
      <w:lang w:val="en-US"/>
    </w:rPr>
  </w:style>
  <w:style w:type="paragraph" w:styleId="3">
    <w:name w:val="heading 2"/>
    <w:basedOn w:val="1"/>
    <w:next w:val="1"/>
    <w:link w:val="27"/>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iPriority w:val="0"/>
    <w:rPr>
      <w:rFonts w:cs="Times New Roman"/>
      <w:color w:val="0000FF"/>
      <w:u w:val="single"/>
    </w:rPr>
  </w:style>
  <w:style w:type="character" w:styleId="9">
    <w:name w:val="Strong"/>
    <w:basedOn w:val="5"/>
    <w:qFormat/>
    <w:uiPriority w:val="22"/>
    <w:rPr>
      <w:b/>
      <w:bCs/>
    </w:rPr>
  </w:style>
  <w:style w:type="paragraph" w:styleId="10">
    <w:name w:val="Balloon Text"/>
    <w:basedOn w:val="1"/>
    <w:link w:val="18"/>
    <w:semiHidden/>
    <w:unhideWhenUsed/>
    <w:qFormat/>
    <w:uiPriority w:val="99"/>
    <w:rPr>
      <w:rFonts w:ascii="Tahoma" w:hAnsi="Tahoma" w:cs="Tahoma"/>
      <w:sz w:val="16"/>
      <w:szCs w:val="16"/>
    </w:rPr>
  </w:style>
  <w:style w:type="paragraph" w:styleId="11">
    <w:name w:val="Body Text"/>
    <w:basedOn w:val="1"/>
    <w:link w:val="26"/>
    <w:semiHidden/>
    <w:unhideWhenUsed/>
    <w:uiPriority w:val="99"/>
    <w:pPr>
      <w:spacing w:after="120"/>
    </w:pPr>
  </w:style>
  <w:style w:type="paragraph" w:styleId="12">
    <w:name w:val="Normal (Web)"/>
    <w:basedOn w:val="1"/>
    <w:unhideWhenUsed/>
    <w:qFormat/>
    <w:uiPriority w:val="99"/>
    <w:pPr>
      <w:spacing w:before="100" w:beforeAutospacing="1" w:after="100" w:afterAutospacing="1"/>
    </w:pPr>
  </w:style>
  <w:style w:type="paragraph" w:styleId="13">
    <w:name w:val="Body Text 3"/>
    <w:basedOn w:val="1"/>
    <w:link w:val="23"/>
    <w:unhideWhenUsed/>
    <w:uiPriority w:val="0"/>
    <w:rPr>
      <w:b/>
      <w:szCs w:val="20"/>
      <w:lang w:val="ro-RO"/>
    </w:rPr>
  </w:style>
  <w:style w:type="table" w:styleId="14">
    <w:name w:val="Table Grid"/>
    <w:basedOn w:val="6"/>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Заголовок 1 Знак"/>
    <w:basedOn w:val="5"/>
    <w:link w:val="2"/>
    <w:qFormat/>
    <w:uiPriority w:val="0"/>
    <w:rPr>
      <w:rFonts w:ascii="Times New Roman" w:hAnsi="Times New Roman" w:eastAsia="Times New Roman" w:cs="Times New Roman"/>
      <w:b/>
      <w:sz w:val="28"/>
      <w:szCs w:val="20"/>
      <w:lang w:val="en-US" w:eastAsia="ru-RU"/>
    </w:rPr>
  </w:style>
  <w:style w:type="paragraph" w:styleId="16">
    <w:name w:val="List Paragraph"/>
    <w:basedOn w:val="1"/>
    <w:link w:val="25"/>
    <w:qFormat/>
    <w:uiPriority w:val="1"/>
    <w:pPr>
      <w:ind w:left="708"/>
    </w:pPr>
  </w:style>
  <w:style w:type="paragraph" w:styleId="1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8">
    <w:name w:val="Текст выноски Знак"/>
    <w:basedOn w:val="5"/>
    <w:link w:val="10"/>
    <w:semiHidden/>
    <w:qFormat/>
    <w:uiPriority w:val="99"/>
    <w:rPr>
      <w:rFonts w:ascii="Tahoma" w:hAnsi="Tahoma" w:eastAsia="Times New Roman" w:cs="Tahoma"/>
      <w:sz w:val="16"/>
      <w:szCs w:val="16"/>
      <w:lang w:eastAsia="ru-RU"/>
    </w:rPr>
  </w:style>
  <w:style w:type="paragraph" w:customStyle="1" w:styleId="19">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0">
    <w:name w:val="doc_header"/>
    <w:basedOn w:val="5"/>
    <w:qFormat/>
    <w:uiPriority w:val="0"/>
  </w:style>
  <w:style w:type="character" w:customStyle="1" w:styleId="21">
    <w:name w:val="Заголовок 4 Знак"/>
    <w:basedOn w:val="5"/>
    <w:link w:val="4"/>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2">
    <w:name w:val="Font Style26"/>
    <w:basedOn w:val="5"/>
    <w:uiPriority w:val="0"/>
    <w:rPr>
      <w:rFonts w:ascii="Times New Roman" w:hAnsi="Times New Roman" w:cs="Times New Roman"/>
      <w:sz w:val="26"/>
      <w:szCs w:val="26"/>
    </w:rPr>
  </w:style>
  <w:style w:type="character" w:customStyle="1" w:styleId="23">
    <w:name w:val="Основной текст 3 Знак"/>
    <w:basedOn w:val="5"/>
    <w:link w:val="13"/>
    <w:uiPriority w:val="0"/>
    <w:rPr>
      <w:rFonts w:ascii="Times New Roman" w:hAnsi="Times New Roman" w:eastAsia="Times New Roman" w:cs="Times New Roman"/>
      <w:b/>
      <w:sz w:val="24"/>
      <w:szCs w:val="20"/>
      <w:lang w:val="ro-RO" w:eastAsia="ru-RU"/>
    </w:rPr>
  </w:style>
  <w:style w:type="character" w:customStyle="1" w:styleId="24">
    <w:name w:val="apple-converted-space"/>
    <w:basedOn w:val="5"/>
    <w:uiPriority w:val="0"/>
  </w:style>
  <w:style w:type="character" w:customStyle="1" w:styleId="25">
    <w:name w:val="Абзац списка Знак"/>
    <w:basedOn w:val="5"/>
    <w:link w:val="16"/>
    <w:locked/>
    <w:uiPriority w:val="1"/>
    <w:rPr>
      <w:rFonts w:ascii="Times New Roman" w:hAnsi="Times New Roman" w:eastAsia="Times New Roman" w:cs="Times New Roman"/>
      <w:sz w:val="24"/>
      <w:szCs w:val="24"/>
      <w:lang w:eastAsia="ru-RU"/>
    </w:rPr>
  </w:style>
  <w:style w:type="character" w:customStyle="1" w:styleId="26">
    <w:name w:val="Основной текст Знак"/>
    <w:basedOn w:val="5"/>
    <w:link w:val="11"/>
    <w:semiHidden/>
    <w:uiPriority w:val="99"/>
    <w:rPr>
      <w:rFonts w:ascii="Times New Roman" w:hAnsi="Times New Roman" w:eastAsia="Times New Roman" w:cs="Times New Roman"/>
      <w:sz w:val="24"/>
      <w:szCs w:val="24"/>
      <w:lang w:eastAsia="ru-RU"/>
    </w:rPr>
  </w:style>
  <w:style w:type="character" w:customStyle="1" w:styleId="27">
    <w:name w:val="Заголовок 2 Знак"/>
    <w:basedOn w:val="5"/>
    <w:link w:val="3"/>
    <w:semiHidden/>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paragraph" w:customStyle="1" w:styleId="28">
    <w:name w:val="msonormalcxspmiddle"/>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C93B-B255-4AE8-B501-669DFF82A38B}">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1320</Words>
  <Characters>7527</Characters>
  <Lines>62</Lines>
  <Paragraphs>17</Paragraphs>
  <TotalTime>7</TotalTime>
  <ScaleCrop>false</ScaleCrop>
  <LinksUpToDate>false</LinksUpToDate>
  <CharactersWithSpaces>8830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2026-05-31T19:44:00Z</dcterms:created>
  <dc:creator>user</dc:creator>
  <cp:lastModifiedBy>Iulian Erimei</cp:lastModifiedBy>
  <cp:lastPrinted>2025-07-31T13:31:00Z</cp:lastPrinted>
  <dcterms:modified xsi:type="dcterms:W3CDTF">2026-06-02T08:14:15Z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3431E706192144C3B351CC5CAC1260F8_13</vt:lpwstr>
  </property>
</Properties>
</file>