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6600"/>
        <w:gridCol w:w="2167"/>
      </w:tblGrid>
      <w:tr w:rsidR="00A35AD2" w14:paraId="3E3874B3" w14:textId="77777777" w:rsidTr="00A35AD2">
        <w:trPr>
          <w:trHeight w:val="1977"/>
        </w:trPr>
        <w:tc>
          <w:tcPr>
            <w:tcW w:w="1440" w:type="dxa"/>
            <w:tcBorders>
              <w:top w:val="nil"/>
              <w:left w:val="nil"/>
              <w:bottom w:val="single" w:sz="4" w:space="0" w:color="auto"/>
              <w:right w:val="nil"/>
            </w:tcBorders>
          </w:tcPr>
          <w:p w14:paraId="4884D666" w14:textId="77777777" w:rsidR="00A35AD2" w:rsidRDefault="00A35AD2" w:rsidP="00A35AD2">
            <w:pPr>
              <w:jc w:val="center"/>
              <w:rPr>
                <w:b/>
              </w:rPr>
            </w:pPr>
            <w:bookmarkStart w:id="0" w:name="_GoBack"/>
            <w:bookmarkEnd w:id="0"/>
          </w:p>
          <w:p w14:paraId="2B21D249" w14:textId="77777777" w:rsidR="00A35AD2" w:rsidRDefault="00A35AD2" w:rsidP="00A35AD2">
            <w:pPr>
              <w:rPr>
                <w:lang w:val="en-US"/>
              </w:rPr>
            </w:pPr>
            <w:r>
              <w:rPr>
                <w:noProof/>
              </w:rPr>
              <w:drawing>
                <wp:anchor distT="0" distB="0" distL="114300" distR="114300" simplePos="0" relativeHeight="251665408" behindDoc="0" locked="0" layoutInCell="1" allowOverlap="0" wp14:anchorId="4378CE3F" wp14:editId="7273081E">
                  <wp:simplePos x="0" y="0"/>
                  <wp:positionH relativeFrom="margin">
                    <wp:posOffset>497205</wp:posOffset>
                  </wp:positionH>
                  <wp:positionV relativeFrom="margin">
                    <wp:posOffset>320040</wp:posOffset>
                  </wp:positionV>
                  <wp:extent cx="569595" cy="689610"/>
                  <wp:effectExtent l="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9595" cy="689610"/>
                          </a:xfrm>
                          <a:prstGeom prst="rect">
                            <a:avLst/>
                          </a:prstGeom>
                          <a:noFill/>
                          <a:ln>
                            <a:noFill/>
                          </a:ln>
                        </pic:spPr>
                      </pic:pic>
                    </a:graphicData>
                  </a:graphic>
                </wp:anchor>
              </w:drawing>
            </w:r>
          </w:p>
        </w:tc>
        <w:tc>
          <w:tcPr>
            <w:tcW w:w="6600" w:type="dxa"/>
            <w:tcBorders>
              <w:top w:val="nil"/>
              <w:left w:val="nil"/>
              <w:bottom w:val="single" w:sz="4" w:space="0" w:color="auto"/>
              <w:right w:val="nil"/>
            </w:tcBorders>
          </w:tcPr>
          <w:p w14:paraId="4B8CFC15" w14:textId="77777777" w:rsidR="00A35AD2" w:rsidRDefault="00A35AD2" w:rsidP="00A35AD2">
            <w:pPr>
              <w:rPr>
                <w:lang w:val="en-US"/>
              </w:rPr>
            </w:pPr>
          </w:p>
          <w:p w14:paraId="262E3679" w14:textId="77777777" w:rsidR="00A35AD2" w:rsidRDefault="00A35AD2" w:rsidP="00A35AD2">
            <w:pPr>
              <w:pStyle w:val="1"/>
              <w:jc w:val="center"/>
              <w:rPr>
                <w:sz w:val="24"/>
                <w:szCs w:val="24"/>
                <w:lang w:val="it-IT"/>
              </w:rPr>
            </w:pPr>
          </w:p>
          <w:p w14:paraId="7AAF88FE" w14:textId="77777777" w:rsidR="00A35AD2" w:rsidRDefault="00A35AD2" w:rsidP="00A35AD2">
            <w:pPr>
              <w:pStyle w:val="1"/>
              <w:jc w:val="center"/>
              <w:rPr>
                <w:sz w:val="24"/>
                <w:szCs w:val="24"/>
                <w:lang w:val="it-IT"/>
              </w:rPr>
            </w:pPr>
            <w:r>
              <w:rPr>
                <w:sz w:val="24"/>
                <w:szCs w:val="24"/>
                <w:lang w:val="it-IT"/>
              </w:rPr>
              <w:t>REPUBLICA  MOLDOVA</w:t>
            </w:r>
          </w:p>
          <w:p w14:paraId="3B277089" w14:textId="77777777" w:rsidR="00A35AD2" w:rsidRDefault="00A35AD2" w:rsidP="00A35AD2">
            <w:pPr>
              <w:pStyle w:val="1"/>
              <w:jc w:val="center"/>
              <w:rPr>
                <w:sz w:val="24"/>
                <w:szCs w:val="24"/>
                <w:lang w:val="it-IT"/>
              </w:rPr>
            </w:pPr>
          </w:p>
          <w:p w14:paraId="7314FFC6" w14:textId="77777777" w:rsidR="00A35AD2" w:rsidRDefault="00A35AD2" w:rsidP="00A35AD2">
            <w:pPr>
              <w:pStyle w:val="1"/>
              <w:rPr>
                <w:sz w:val="24"/>
                <w:szCs w:val="24"/>
                <w:lang w:val="ro-RO"/>
              </w:rPr>
            </w:pPr>
            <w:r>
              <w:rPr>
                <w:sz w:val="24"/>
                <w:szCs w:val="24"/>
                <w:lang w:val="it-IT"/>
              </w:rPr>
              <w:t xml:space="preserve">                     CONSILIUL  RAIONAL S</w:t>
            </w:r>
            <w:r>
              <w:rPr>
                <w:sz w:val="24"/>
                <w:szCs w:val="24"/>
                <w:lang w:val="ro-RO"/>
              </w:rPr>
              <w:t>ÎNGEREI</w:t>
            </w:r>
          </w:p>
          <w:p w14:paraId="07A53E21" w14:textId="77777777" w:rsidR="00A35AD2" w:rsidRDefault="00A35AD2" w:rsidP="00A35AD2">
            <w:pPr>
              <w:rPr>
                <w:lang w:val="ro-RO"/>
              </w:rPr>
            </w:pPr>
          </w:p>
          <w:p w14:paraId="694D1A61" w14:textId="77777777" w:rsidR="00A35AD2" w:rsidRDefault="00A35AD2" w:rsidP="00A35AD2">
            <w:pPr>
              <w:rPr>
                <w:b/>
                <w:bCs/>
                <w:lang w:val="ro-RO"/>
              </w:rPr>
            </w:pPr>
            <w:r>
              <w:rPr>
                <w:b/>
                <w:bCs/>
                <w:lang w:val="ro-RO"/>
              </w:rPr>
              <w:t xml:space="preserve">                          PREȘEDINTELE  RAIONULUI</w:t>
            </w:r>
          </w:p>
          <w:p w14:paraId="0695393D" w14:textId="77777777" w:rsidR="00A35AD2" w:rsidRDefault="00A35AD2" w:rsidP="00A35AD2">
            <w:pPr>
              <w:jc w:val="center"/>
              <w:rPr>
                <w:lang w:val="it-IT"/>
              </w:rPr>
            </w:pPr>
          </w:p>
        </w:tc>
        <w:tc>
          <w:tcPr>
            <w:tcW w:w="2167" w:type="dxa"/>
            <w:tcBorders>
              <w:top w:val="nil"/>
              <w:left w:val="nil"/>
              <w:bottom w:val="single" w:sz="4" w:space="0" w:color="auto"/>
              <w:right w:val="nil"/>
            </w:tcBorders>
          </w:tcPr>
          <w:p w14:paraId="25C19EB2" w14:textId="77777777" w:rsidR="00A35AD2" w:rsidRDefault="00A35AD2" w:rsidP="00A35AD2">
            <w:pPr>
              <w:jc w:val="center"/>
              <w:rPr>
                <w:lang w:val="it-IT"/>
              </w:rPr>
            </w:pPr>
            <w:r>
              <w:rPr>
                <w:noProof/>
              </w:rPr>
              <w:drawing>
                <wp:anchor distT="0" distB="0" distL="114300" distR="114300" simplePos="0" relativeHeight="251664384" behindDoc="1" locked="0" layoutInCell="1" allowOverlap="1" wp14:anchorId="1B5026B6" wp14:editId="6CE9E70F">
                  <wp:simplePos x="0" y="0"/>
                  <wp:positionH relativeFrom="column">
                    <wp:posOffset>5372100</wp:posOffset>
                  </wp:positionH>
                  <wp:positionV relativeFrom="paragraph">
                    <wp:posOffset>114300</wp:posOffset>
                  </wp:positionV>
                  <wp:extent cx="687070" cy="86614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87070" cy="866140"/>
                          </a:xfrm>
                          <a:prstGeom prst="rect">
                            <a:avLst/>
                          </a:prstGeom>
                          <a:noFill/>
                          <a:ln>
                            <a:noFill/>
                          </a:ln>
                        </pic:spPr>
                      </pic:pic>
                    </a:graphicData>
                  </a:graphic>
                </wp:anchor>
              </w:drawing>
            </w:r>
          </w:p>
          <w:p w14:paraId="0FF1DBB9" w14:textId="77777777" w:rsidR="00A35AD2" w:rsidRDefault="00A35AD2" w:rsidP="00A35AD2">
            <w:pPr>
              <w:jc w:val="center"/>
              <w:rPr>
                <w:b/>
                <w:lang w:val="en-US"/>
              </w:rPr>
            </w:pPr>
            <w:r>
              <w:rPr>
                <w:b/>
                <w:noProof/>
              </w:rPr>
              <w:drawing>
                <wp:inline distT="0" distB="0" distL="0" distR="0" wp14:anchorId="64522D92" wp14:editId="3FAB3572">
                  <wp:extent cx="609600" cy="773430"/>
                  <wp:effectExtent l="0" t="0" r="0" b="762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10880" cy="775348"/>
                          </a:xfrm>
                          <a:prstGeom prst="rect">
                            <a:avLst/>
                          </a:prstGeom>
                          <a:noFill/>
                          <a:ln>
                            <a:noFill/>
                          </a:ln>
                        </pic:spPr>
                      </pic:pic>
                    </a:graphicData>
                  </a:graphic>
                </wp:inline>
              </w:drawing>
            </w:r>
          </w:p>
          <w:p w14:paraId="4C86FF81" w14:textId="77777777" w:rsidR="00A35AD2" w:rsidRDefault="00A35AD2" w:rsidP="00A35AD2">
            <w:pPr>
              <w:rPr>
                <w:lang w:val="en-US"/>
              </w:rPr>
            </w:pPr>
          </w:p>
          <w:p w14:paraId="7204D3A6" w14:textId="77777777" w:rsidR="00A35AD2" w:rsidRDefault="00A35AD2" w:rsidP="00A35AD2">
            <w:pPr>
              <w:jc w:val="right"/>
              <w:rPr>
                <w:lang w:val="en-US"/>
              </w:rPr>
            </w:pPr>
          </w:p>
        </w:tc>
      </w:tr>
      <w:tr w:rsidR="00A35AD2" w14:paraId="71361963" w14:textId="77777777" w:rsidTr="00A35AD2">
        <w:trPr>
          <w:trHeight w:val="70"/>
        </w:trPr>
        <w:tc>
          <w:tcPr>
            <w:tcW w:w="10207" w:type="dxa"/>
            <w:gridSpan w:val="3"/>
            <w:tcBorders>
              <w:top w:val="single" w:sz="4" w:space="0" w:color="auto"/>
              <w:left w:val="nil"/>
              <w:bottom w:val="thinThickSmallGap" w:sz="24" w:space="0" w:color="auto"/>
              <w:right w:val="nil"/>
            </w:tcBorders>
          </w:tcPr>
          <w:p w14:paraId="16E1D85D" w14:textId="77777777" w:rsidR="00A35AD2" w:rsidRDefault="00A35AD2" w:rsidP="00A35AD2">
            <w:pPr>
              <w:rPr>
                <w:b/>
                <w:lang w:val="ro-RO"/>
              </w:rPr>
            </w:pPr>
            <w:r>
              <w:rPr>
                <w:b/>
                <w:lang w:val="ro-RO"/>
              </w:rPr>
              <w:t xml:space="preserve">   Secția Cultură</w:t>
            </w:r>
          </w:p>
        </w:tc>
      </w:tr>
    </w:tbl>
    <w:p w14:paraId="51847D42" w14:textId="77777777" w:rsidR="008C636F" w:rsidRDefault="00096DA8">
      <w:pPr>
        <w:spacing w:line="276" w:lineRule="auto"/>
        <w:rPr>
          <w:b/>
          <w:sz w:val="22"/>
          <w:szCs w:val="22"/>
          <w:lang w:val="en-US"/>
        </w:rPr>
      </w:pPr>
      <w:r>
        <w:rPr>
          <w:b/>
          <w:sz w:val="22"/>
          <w:szCs w:val="22"/>
          <w:lang w:val="en-US"/>
        </w:rPr>
        <w:t>Nr. ________________</w:t>
      </w:r>
    </w:p>
    <w:p w14:paraId="62C62DDB" w14:textId="6230D09D" w:rsidR="008C636F" w:rsidRDefault="00096DA8">
      <w:pPr>
        <w:spacing w:line="276" w:lineRule="auto"/>
        <w:rPr>
          <w:sz w:val="22"/>
          <w:szCs w:val="22"/>
          <w:lang w:val="ro-RO"/>
        </w:rPr>
      </w:pPr>
      <w:r>
        <w:rPr>
          <w:b/>
          <w:sz w:val="22"/>
          <w:szCs w:val="22"/>
          <w:lang w:val="en-US"/>
        </w:rPr>
        <w:t>din ______________ 202</w:t>
      </w:r>
      <w:r w:rsidR="00C726D8">
        <w:rPr>
          <w:b/>
          <w:sz w:val="22"/>
          <w:szCs w:val="22"/>
          <w:lang w:val="en-US"/>
        </w:rPr>
        <w:t>6</w:t>
      </w:r>
    </w:p>
    <w:p w14:paraId="67DA2570" w14:textId="77777777" w:rsidR="008C636F" w:rsidRDefault="00096DA8">
      <w:pPr>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p>
    <w:p w14:paraId="36DB35B2" w14:textId="77777777" w:rsidR="008C636F" w:rsidRDefault="00096DA8">
      <w:pPr>
        <w:rPr>
          <w:sz w:val="22"/>
          <w:szCs w:val="22"/>
          <w:lang w:val="ro-RO"/>
        </w:rPr>
      </w:pPr>
      <w:r>
        <w:rPr>
          <w:sz w:val="22"/>
          <w:szCs w:val="22"/>
          <w:lang w:val="en-US"/>
        </w:rPr>
        <w:t xml:space="preserve">Secretară interimară  a        </w:t>
      </w:r>
      <w:r>
        <w:rPr>
          <w:sz w:val="22"/>
          <w:szCs w:val="22"/>
          <w:lang w:val="ro-RO"/>
        </w:rPr>
        <w:t xml:space="preserve">                                                                              De acord şi dispun elaborarea  Consiliului raional                                                                                                         proiectului de decizie </w:t>
      </w:r>
    </w:p>
    <w:p w14:paraId="12A7B8BF" w14:textId="77777777" w:rsidR="008C636F" w:rsidRDefault="00096DA8">
      <w:pPr>
        <w:rPr>
          <w:b/>
          <w:bCs/>
          <w:sz w:val="22"/>
          <w:szCs w:val="22"/>
          <w:lang w:val="ro-RO"/>
        </w:rPr>
      </w:pPr>
      <w:r>
        <w:rPr>
          <w:b/>
          <w:bCs/>
          <w:sz w:val="22"/>
          <w:szCs w:val="22"/>
          <w:lang w:val="ro-RO"/>
        </w:rPr>
        <w:t xml:space="preserve">Angela Mihaliuc                                                                                                                    PREŞEDINTE _____________                                                                                                        </w:t>
      </w:r>
      <w:r>
        <w:rPr>
          <w:b/>
          <w:sz w:val="22"/>
          <w:szCs w:val="22"/>
          <w:lang w:val="ro-RO"/>
        </w:rPr>
        <w:t>Cristian  CAINARIAN</w:t>
      </w:r>
      <w:r>
        <w:rPr>
          <w:sz w:val="22"/>
          <w:szCs w:val="22"/>
          <w:lang w:val="ro-RO"/>
        </w:rPr>
        <w:t xml:space="preserve">                </w:t>
      </w:r>
      <w:r>
        <w:rPr>
          <w:b/>
          <w:sz w:val="22"/>
          <w:szCs w:val="22"/>
          <w:lang w:val="ro-RO"/>
        </w:rPr>
        <w:t xml:space="preserve"> </w:t>
      </w:r>
    </w:p>
    <w:p w14:paraId="47672B03" w14:textId="77777777" w:rsidR="008C636F" w:rsidRDefault="00096DA8">
      <w:pPr>
        <w:tabs>
          <w:tab w:val="left" w:pos="7088"/>
        </w:tabs>
        <w:rPr>
          <w:lang w:val="en-US"/>
        </w:rPr>
      </w:pPr>
      <w:r>
        <w:rPr>
          <w:lang w:val="en-US"/>
        </w:rPr>
        <w:tab/>
        <w:t>__________________</w:t>
      </w:r>
    </w:p>
    <w:p w14:paraId="38EA312D" w14:textId="16423F4B" w:rsidR="008C636F" w:rsidRPr="002A7C01" w:rsidRDefault="00096DA8" w:rsidP="00A35AD2">
      <w:pPr>
        <w:rPr>
          <w:b/>
          <w:lang w:val="ro-RO"/>
        </w:rPr>
      </w:pPr>
      <w:r w:rsidRPr="002A7C01">
        <w:rPr>
          <w:lang w:val="ro-RO"/>
        </w:rPr>
        <w:t xml:space="preserve">                                              </w:t>
      </w:r>
      <w:r w:rsidRPr="002A7C01">
        <w:rPr>
          <w:b/>
          <w:lang w:val="ro-RO"/>
        </w:rPr>
        <w:t>NOTĂ DE FUNDAMENTARE</w:t>
      </w:r>
    </w:p>
    <w:p w14:paraId="7D2EE6DC" w14:textId="5EA4CCE7" w:rsidR="008C636F" w:rsidRDefault="00A35AD2" w:rsidP="00A35AD2">
      <w:pPr>
        <w:spacing w:line="276" w:lineRule="auto"/>
        <w:rPr>
          <w:b/>
          <w:kern w:val="16"/>
          <w:lang w:val="ro-RO"/>
        </w:rPr>
      </w:pPr>
      <w:r w:rsidRPr="002A7C01">
        <w:rPr>
          <w:b/>
          <w:lang w:val="en-US"/>
        </w:rPr>
        <w:t xml:space="preserve">Cu privire la </w:t>
      </w:r>
      <w:r w:rsidRPr="002A7C01">
        <w:rPr>
          <w:rFonts w:eastAsia="Calibri"/>
          <w:b/>
          <w:lang w:val="ro-RO" w:eastAsia="en-US"/>
        </w:rPr>
        <w:t xml:space="preserve">aprobarea Regulamentului </w:t>
      </w:r>
      <w:r w:rsidRPr="002A7C01">
        <w:rPr>
          <w:b/>
          <w:kern w:val="16"/>
          <w:lang w:val="ro-RO"/>
        </w:rPr>
        <w:t>de organizare şi funcţionare</w:t>
      </w:r>
      <w:r w:rsidRPr="00286EE5">
        <w:rPr>
          <w:b/>
          <w:kern w:val="16"/>
          <w:lang w:val="ro-RO"/>
        </w:rPr>
        <w:t xml:space="preserve"> a</w:t>
      </w:r>
      <w:r>
        <w:rPr>
          <w:b/>
          <w:kern w:val="16"/>
          <w:lang w:val="ro-RO"/>
        </w:rPr>
        <w:t xml:space="preserve"> Secției Cultură</w:t>
      </w:r>
    </w:p>
    <w:tbl>
      <w:tblPr>
        <w:tblW w:w="53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5"/>
      </w:tblGrid>
      <w:tr w:rsidR="008C636F" w:rsidRPr="00890019" w14:paraId="4EB44823" w14:textId="77777777">
        <w:tc>
          <w:tcPr>
            <w:tcW w:w="5000" w:type="pct"/>
            <w:tcBorders>
              <w:top w:val="single" w:sz="4" w:space="0" w:color="auto"/>
              <w:left w:val="single" w:sz="4" w:space="0" w:color="auto"/>
              <w:bottom w:val="single" w:sz="4" w:space="0" w:color="auto"/>
              <w:right w:val="single" w:sz="4" w:space="0" w:color="auto"/>
            </w:tcBorders>
          </w:tcPr>
          <w:p w14:paraId="0B5B756B" w14:textId="77777777" w:rsidR="008C636F" w:rsidRPr="00A35AD2" w:rsidRDefault="00096DA8">
            <w:pPr>
              <w:numPr>
                <w:ilvl w:val="3"/>
                <w:numId w:val="1"/>
              </w:numPr>
              <w:tabs>
                <w:tab w:val="left" w:pos="284"/>
                <w:tab w:val="left" w:pos="1196"/>
              </w:tabs>
              <w:spacing w:line="276" w:lineRule="auto"/>
              <w:ind w:left="0" w:firstLine="0"/>
              <w:jc w:val="both"/>
              <w:rPr>
                <w:b/>
                <w:iCs/>
                <w:lang w:val="en-US" w:eastAsia="en-US"/>
              </w:rPr>
            </w:pPr>
            <w:r w:rsidRPr="00A35AD2">
              <w:rPr>
                <w:b/>
                <w:iCs/>
                <w:lang w:val="en-US"/>
              </w:rPr>
              <w:t>Denumirea autorului şi, după caz, a participanţilor la elaborarea proiectului</w:t>
            </w:r>
          </w:p>
        </w:tc>
      </w:tr>
      <w:tr w:rsidR="008C636F" w:rsidRPr="00890019" w14:paraId="3CA5FD02" w14:textId="77777777">
        <w:tc>
          <w:tcPr>
            <w:tcW w:w="5000" w:type="pct"/>
            <w:tcBorders>
              <w:top w:val="single" w:sz="4" w:space="0" w:color="auto"/>
              <w:left w:val="single" w:sz="4" w:space="0" w:color="auto"/>
              <w:bottom w:val="single" w:sz="4" w:space="0" w:color="auto"/>
              <w:right w:val="single" w:sz="4" w:space="0" w:color="auto"/>
            </w:tcBorders>
          </w:tcPr>
          <w:p w14:paraId="75403E61" w14:textId="77777777" w:rsidR="008C636F" w:rsidRPr="00A35AD2" w:rsidRDefault="00096DA8">
            <w:pPr>
              <w:spacing w:line="276" w:lineRule="auto"/>
              <w:jc w:val="both"/>
              <w:rPr>
                <w:lang w:val="en-US"/>
              </w:rPr>
            </w:pPr>
            <w:r w:rsidRPr="00A35AD2">
              <w:rPr>
                <w:lang w:val="en-US"/>
              </w:rPr>
              <w:t xml:space="preserve">Proiectul de decizie este elaborat de către </w:t>
            </w:r>
            <w:r w:rsidRPr="00A35AD2">
              <w:rPr>
                <w:lang w:val="ro-RO"/>
              </w:rPr>
              <w:t>Secția Cultură</w:t>
            </w:r>
            <w:r w:rsidRPr="00A35AD2">
              <w:rPr>
                <w:lang w:val="en-US"/>
              </w:rPr>
              <w:t xml:space="preserve"> din cadrul Consiliului Raional Sîngerei.</w:t>
            </w:r>
          </w:p>
        </w:tc>
      </w:tr>
      <w:tr w:rsidR="008C636F" w:rsidRPr="00890019" w14:paraId="5045385D" w14:textId="77777777">
        <w:tc>
          <w:tcPr>
            <w:tcW w:w="5000" w:type="pct"/>
            <w:tcBorders>
              <w:top w:val="single" w:sz="4" w:space="0" w:color="auto"/>
              <w:left w:val="single" w:sz="4" w:space="0" w:color="auto"/>
              <w:bottom w:val="single" w:sz="4" w:space="0" w:color="auto"/>
              <w:right w:val="single" w:sz="4" w:space="0" w:color="auto"/>
            </w:tcBorders>
          </w:tcPr>
          <w:p w14:paraId="46E8139D" w14:textId="77777777" w:rsidR="008C636F" w:rsidRPr="00A35AD2" w:rsidRDefault="00096DA8">
            <w:pPr>
              <w:tabs>
                <w:tab w:val="left" w:pos="884"/>
                <w:tab w:val="left" w:pos="1196"/>
              </w:tabs>
              <w:spacing w:line="276" w:lineRule="auto"/>
              <w:jc w:val="both"/>
              <w:rPr>
                <w:b/>
                <w:bCs/>
                <w:lang w:val="en-US" w:eastAsia="en-US"/>
              </w:rPr>
            </w:pPr>
            <w:r w:rsidRPr="00A35AD2">
              <w:rPr>
                <w:b/>
                <w:bCs/>
                <w:lang w:val="en-US"/>
              </w:rPr>
              <w:t>2. Condiţiile ce au impus elaborarea proiectului de act normativ şi finalităţile urmărite</w:t>
            </w:r>
          </w:p>
        </w:tc>
      </w:tr>
      <w:tr w:rsidR="008C636F" w:rsidRPr="00890019" w14:paraId="48042826" w14:textId="77777777">
        <w:tc>
          <w:tcPr>
            <w:tcW w:w="5000" w:type="pct"/>
            <w:tcBorders>
              <w:top w:val="single" w:sz="4" w:space="0" w:color="auto"/>
              <w:left w:val="single" w:sz="4" w:space="0" w:color="auto"/>
              <w:bottom w:val="single" w:sz="4" w:space="0" w:color="auto"/>
              <w:right w:val="single" w:sz="4" w:space="0" w:color="auto"/>
            </w:tcBorders>
          </w:tcPr>
          <w:p w14:paraId="380A8409" w14:textId="44F98896" w:rsidR="00A35AD2" w:rsidRPr="00A35AD2" w:rsidRDefault="00A35AD2">
            <w:pPr>
              <w:jc w:val="both"/>
              <w:rPr>
                <w:lang w:val="ro-RO"/>
              </w:rPr>
            </w:pPr>
            <w:r w:rsidRPr="00A35AD2">
              <w:rPr>
                <w:color w:val="000000"/>
                <w:szCs w:val="22"/>
                <w:lang w:val="ro-RO"/>
              </w:rPr>
              <w:t xml:space="preserve">  Proiectul de decizie </w:t>
            </w:r>
            <w:r w:rsidRPr="00A35AD2">
              <w:rPr>
                <w:szCs w:val="22"/>
                <w:lang w:val="en-US"/>
              </w:rPr>
              <w:t>a fost elaborat urmare a prevederilor</w:t>
            </w:r>
            <w:r w:rsidRPr="00A35AD2">
              <w:rPr>
                <w:szCs w:val="22"/>
                <w:lang w:val="ro-RO"/>
              </w:rPr>
              <w:t xml:space="preserve"> art.</w:t>
            </w:r>
            <w:r w:rsidRPr="00A35AD2">
              <w:rPr>
                <w:lang w:val="en-US"/>
              </w:rPr>
              <w:t xml:space="preserve"> 43 alin. (1) lit. q) și alin. (2), art. 46 din Legea nr. 436/2006 privind administrația publică locală, art. 198-199 din Codul Muncii al Republicii Moldova nr. 154/2003, Legea culturii nr. 413/1999,  Legea nr. 100/2017 cu privire la actele normative, Legea nr. 435/2006 privind descentralizarea administrativă, precum şi în scopul asigurării bunei funcţionalităţi a</w:t>
            </w:r>
            <w:r w:rsidRPr="00A35AD2">
              <w:rPr>
                <w:kern w:val="16"/>
                <w:lang w:val="ro-RO"/>
              </w:rPr>
              <w:t xml:space="preserve"> Secției Cultură.</w:t>
            </w:r>
          </w:p>
          <w:p w14:paraId="577ABC61" w14:textId="33F9AA0D" w:rsidR="008C636F" w:rsidRPr="00A35AD2" w:rsidRDefault="00A35AD2">
            <w:pPr>
              <w:jc w:val="both"/>
              <w:rPr>
                <w:rFonts w:eastAsia="Calibri"/>
                <w:bCs/>
                <w:lang w:val="ro-RO" w:eastAsia="en-US"/>
              </w:rPr>
            </w:pPr>
            <w:r w:rsidRPr="00A35AD2">
              <w:rPr>
                <w:rFonts w:eastAsia="Calibri"/>
                <w:bCs/>
                <w:lang w:val="ro-RO" w:eastAsia="en-US"/>
              </w:rPr>
              <w:t xml:space="preserve">  </w:t>
            </w:r>
            <w:r w:rsidR="00096DA8" w:rsidRPr="00A35AD2">
              <w:rPr>
                <w:rFonts w:eastAsia="Calibri"/>
                <w:bCs/>
                <w:lang w:val="ro-RO" w:eastAsia="en-US"/>
              </w:rPr>
              <w:t>Motivele ce au impus elaborarea prezentului proiect de decizie sunt:</w:t>
            </w:r>
          </w:p>
          <w:p w14:paraId="1A99C901" w14:textId="6C402207" w:rsidR="008C636F" w:rsidRPr="00A35AD2" w:rsidRDefault="00096DA8">
            <w:pPr>
              <w:jc w:val="both"/>
              <w:rPr>
                <w:rFonts w:eastAsia="Calibri"/>
                <w:bCs/>
                <w:lang w:val="en-US" w:eastAsia="en-US"/>
              </w:rPr>
            </w:pPr>
            <w:r w:rsidRPr="00A35AD2">
              <w:rPr>
                <w:rFonts w:eastAsia="Calibri"/>
                <w:bCs/>
                <w:lang w:val="ro-RO" w:eastAsia="en-US"/>
              </w:rPr>
              <w:t>-</w:t>
            </w:r>
            <w:r w:rsidR="009D413F" w:rsidRPr="00A35AD2">
              <w:rPr>
                <w:b/>
                <w:bCs/>
                <w:lang w:val="en-US"/>
              </w:rPr>
              <w:t xml:space="preserve"> </w:t>
            </w:r>
            <w:r w:rsidR="009D413F" w:rsidRPr="00A35AD2">
              <w:rPr>
                <w:rFonts w:eastAsia="Calibri"/>
                <w:lang w:val="en-US" w:eastAsia="en-US"/>
              </w:rPr>
              <w:t>Necesitatea actualizării cadrului normativ intern</w:t>
            </w:r>
            <w:r w:rsidR="009D413F" w:rsidRPr="00A35AD2">
              <w:rPr>
                <w:rFonts w:eastAsia="Calibri"/>
                <w:bCs/>
                <w:lang w:val="en-US" w:eastAsia="en-US"/>
              </w:rPr>
              <w:t>, în vederea alinierii activității Secției Cultură Sîngerei la prevederile legislației în vigoare și la cerințele actuale ale administrației publice locale;</w:t>
            </w:r>
          </w:p>
          <w:p w14:paraId="3DD7E5BF" w14:textId="494BB875" w:rsidR="008C636F" w:rsidRPr="00A35AD2" w:rsidRDefault="00096DA8">
            <w:pPr>
              <w:jc w:val="both"/>
              <w:rPr>
                <w:lang w:val="ro-RO"/>
              </w:rPr>
            </w:pPr>
            <w:r w:rsidRPr="00A35AD2">
              <w:rPr>
                <w:rFonts w:eastAsia="Calibri"/>
                <w:bCs/>
                <w:lang w:val="ro-RO" w:eastAsia="en-US"/>
              </w:rPr>
              <w:t>-</w:t>
            </w:r>
            <w:r w:rsidR="009D413F" w:rsidRPr="00A35AD2">
              <w:rPr>
                <w:b/>
                <w:bCs/>
                <w:lang w:val="en-US"/>
              </w:rPr>
              <w:t xml:space="preserve"> </w:t>
            </w:r>
            <w:r w:rsidR="009D413F" w:rsidRPr="00A35AD2">
              <w:rPr>
                <w:rFonts w:eastAsia="Calibri"/>
                <w:lang w:val="en-US" w:eastAsia="en-US"/>
              </w:rPr>
              <w:t>Lipsa unui regulament consolidat și adaptat realităților instituționale actuale</w:t>
            </w:r>
            <w:r w:rsidR="009D413F" w:rsidRPr="00A35AD2">
              <w:rPr>
                <w:rFonts w:eastAsia="Calibri"/>
                <w:bCs/>
                <w:lang w:val="en-US" w:eastAsia="en-US"/>
              </w:rPr>
              <w:t>, care să reflecte rolul extins al Secției Cultură în coordonarea și dezvoltarea domeniului cultural la nivel raional</w:t>
            </w:r>
            <w:r w:rsidRPr="00A35AD2">
              <w:rPr>
                <w:lang w:val="ro-RO"/>
              </w:rPr>
              <w:t>-Asigurarea corespunderii funcțiilor conform tuturor prevederilor legale și actelor normative ;</w:t>
            </w:r>
          </w:p>
          <w:p w14:paraId="1E95AD26" w14:textId="616F7469" w:rsidR="008C636F" w:rsidRPr="00A35AD2" w:rsidRDefault="00096DA8">
            <w:pPr>
              <w:jc w:val="both"/>
              <w:rPr>
                <w:lang w:val="en-US"/>
              </w:rPr>
            </w:pPr>
            <w:r w:rsidRPr="00A35AD2">
              <w:rPr>
                <w:lang w:val="ro-RO"/>
              </w:rPr>
              <w:t>-</w:t>
            </w:r>
            <w:r w:rsidR="009D413F" w:rsidRPr="00A35AD2">
              <w:rPr>
                <w:b/>
                <w:bCs/>
                <w:lang w:val="en-US"/>
              </w:rPr>
              <w:t xml:space="preserve"> </w:t>
            </w:r>
            <w:r w:rsidR="009D413F" w:rsidRPr="00A35AD2">
              <w:rPr>
                <w:lang w:val="en-US"/>
              </w:rPr>
              <w:t>Necesitatea delimitării clare a atribuțiilor, competențelor și responsabilităților, atât la nivelul Secției Cultură, cât și în raport cu instituțiile culturale din subordine;</w:t>
            </w:r>
          </w:p>
          <w:p w14:paraId="3B23D06F" w14:textId="6407E2A1" w:rsidR="008C636F" w:rsidRPr="00A35AD2" w:rsidRDefault="00096DA8">
            <w:pPr>
              <w:jc w:val="both"/>
              <w:rPr>
                <w:lang w:val="en-US"/>
              </w:rPr>
            </w:pPr>
            <w:r w:rsidRPr="00A35AD2">
              <w:rPr>
                <w:lang w:val="ro-RO"/>
              </w:rPr>
              <w:t>-</w:t>
            </w:r>
            <w:r w:rsidR="009D413F" w:rsidRPr="00A35AD2">
              <w:rPr>
                <w:b/>
                <w:bCs/>
                <w:lang w:val="en-US"/>
              </w:rPr>
              <w:t xml:space="preserve"> </w:t>
            </w:r>
            <w:r w:rsidR="009D413F" w:rsidRPr="00A35AD2">
              <w:rPr>
                <w:lang w:val="en-US"/>
              </w:rPr>
              <w:t>Creșterea complexității activităților culturale și administrative, inclusiv gestionarea unui număr semnificativ de instituții subordonate și implementarea programelor culturale raionale;</w:t>
            </w:r>
          </w:p>
          <w:p w14:paraId="6EF0C936" w14:textId="425740C3" w:rsidR="009D413F" w:rsidRPr="00A35AD2" w:rsidRDefault="009D413F">
            <w:pPr>
              <w:jc w:val="both"/>
              <w:rPr>
                <w:lang w:val="en-US"/>
              </w:rPr>
            </w:pPr>
            <w:r w:rsidRPr="00A35AD2">
              <w:rPr>
                <w:b/>
                <w:bCs/>
                <w:lang w:val="en-US"/>
              </w:rPr>
              <w:t>-</w:t>
            </w:r>
            <w:r w:rsidRPr="00A35AD2">
              <w:rPr>
                <w:lang w:val="en-US"/>
              </w:rPr>
              <w:t>Necesitatea consolidării rolului metodologic al Secției Cultură, în vederea acordării suportului instituțiilor culturale din teritoriu (case de cultură, biblioteci, școli de arte);</w:t>
            </w:r>
          </w:p>
          <w:p w14:paraId="7A46DE96" w14:textId="2B3841B7" w:rsidR="009D413F" w:rsidRPr="00A35AD2" w:rsidRDefault="009D413F">
            <w:pPr>
              <w:jc w:val="both"/>
              <w:rPr>
                <w:lang w:val="en-US"/>
              </w:rPr>
            </w:pPr>
            <w:r w:rsidRPr="00A35AD2">
              <w:rPr>
                <w:lang w:val="en-US"/>
              </w:rPr>
              <w:t>-</w:t>
            </w:r>
            <w:r w:rsidRPr="00A35AD2">
              <w:rPr>
                <w:b/>
                <w:bCs/>
                <w:lang w:val="en-US"/>
              </w:rPr>
              <w:t xml:space="preserve"> </w:t>
            </w:r>
            <w:r w:rsidRPr="00A35AD2">
              <w:rPr>
                <w:lang w:val="en-US"/>
              </w:rPr>
              <w:t>Asigurarea unui management instituțional eficient și transparent, prin reglementarea mecanismelor de planificare, monitorizare și evaluare a activităților;</w:t>
            </w:r>
          </w:p>
          <w:p w14:paraId="2AB0BF1D" w14:textId="134597FC" w:rsidR="009D413F" w:rsidRPr="00A35AD2" w:rsidRDefault="009D413F">
            <w:pPr>
              <w:jc w:val="both"/>
              <w:rPr>
                <w:lang w:val="en-US"/>
              </w:rPr>
            </w:pPr>
            <w:r w:rsidRPr="00A35AD2">
              <w:rPr>
                <w:lang w:val="en-US"/>
              </w:rPr>
              <w:t>-</w:t>
            </w:r>
            <w:r w:rsidRPr="00A35AD2">
              <w:rPr>
                <w:b/>
                <w:bCs/>
                <w:lang w:val="en-US"/>
              </w:rPr>
              <w:t xml:space="preserve"> </w:t>
            </w:r>
            <w:r w:rsidRPr="00A35AD2">
              <w:rPr>
                <w:lang w:val="en-US"/>
              </w:rPr>
              <w:t>Necesitatea implementării și funcționării eficiente a sistemului de control intern managerial, conform cerințelor legale, și recomandărilor din Raportul de Audit</w:t>
            </w:r>
          </w:p>
          <w:p w14:paraId="5A5085F9" w14:textId="77777777" w:rsidR="009D413F" w:rsidRPr="00A35AD2" w:rsidRDefault="009D413F">
            <w:pPr>
              <w:jc w:val="both"/>
              <w:rPr>
                <w:lang w:val="ro-MD"/>
              </w:rPr>
            </w:pPr>
            <w:r w:rsidRPr="00A35AD2">
              <w:rPr>
                <w:lang w:val="en-US"/>
              </w:rPr>
              <w:t>-</w:t>
            </w:r>
            <w:r w:rsidRPr="00A35AD2">
              <w:rPr>
                <w:b/>
                <w:bCs/>
                <w:lang w:val="en-US"/>
              </w:rPr>
              <w:t xml:space="preserve"> </w:t>
            </w:r>
            <w:r w:rsidRPr="00A35AD2">
              <w:rPr>
                <w:lang w:val="en-US"/>
              </w:rPr>
              <w:t>Necesitatea îmbunătățirii coordonării între autoritatea publică raională și instituțiile culturale, precum și între domeniul culturii și alte domenii conexe (educație, turism, patrimoniu);</w:t>
            </w:r>
          </w:p>
          <w:p w14:paraId="6F205FB2" w14:textId="66BA9665" w:rsidR="009D413F" w:rsidRPr="00A35AD2" w:rsidRDefault="009D413F">
            <w:pPr>
              <w:jc w:val="both"/>
              <w:rPr>
                <w:lang w:val="en-US"/>
              </w:rPr>
            </w:pPr>
            <w:r w:rsidRPr="00A35AD2">
              <w:rPr>
                <w:lang w:val="ro-MD"/>
              </w:rPr>
              <w:t>-</w:t>
            </w:r>
            <w:r w:rsidRPr="00A35AD2">
              <w:rPr>
                <w:b/>
                <w:bCs/>
                <w:lang w:val="en-US"/>
              </w:rPr>
              <w:t xml:space="preserve"> </w:t>
            </w:r>
            <w:r w:rsidRPr="00A35AD2">
              <w:rPr>
                <w:lang w:val="en-US"/>
              </w:rPr>
              <w:t>Valorificarea potențialului cultural și patrimonial al raionului, inclusiv prin dezvoltarea proiectelor culturale și atragerea de finanțări externe</w:t>
            </w:r>
          </w:p>
        </w:tc>
      </w:tr>
      <w:tr w:rsidR="008C636F" w:rsidRPr="00890019" w14:paraId="26C26D71" w14:textId="77777777">
        <w:tc>
          <w:tcPr>
            <w:tcW w:w="5000" w:type="pct"/>
            <w:tcBorders>
              <w:top w:val="single" w:sz="4" w:space="0" w:color="auto"/>
              <w:left w:val="single" w:sz="4" w:space="0" w:color="auto"/>
              <w:bottom w:val="single" w:sz="4" w:space="0" w:color="auto"/>
              <w:right w:val="single" w:sz="4" w:space="0" w:color="auto"/>
            </w:tcBorders>
          </w:tcPr>
          <w:p w14:paraId="628516A4" w14:textId="77777777" w:rsidR="008C636F" w:rsidRPr="00A35AD2" w:rsidRDefault="00096DA8">
            <w:pPr>
              <w:tabs>
                <w:tab w:val="left" w:pos="884"/>
                <w:tab w:val="left" w:pos="1196"/>
              </w:tabs>
              <w:jc w:val="both"/>
              <w:rPr>
                <w:b/>
                <w:bCs/>
                <w:lang w:val="en-US"/>
              </w:rPr>
            </w:pPr>
            <w:r w:rsidRPr="00A35AD2">
              <w:rPr>
                <w:b/>
                <w:bCs/>
                <w:lang w:val="en-US"/>
              </w:rPr>
              <w:t>3. Obiectivele urmărite și soluțiile propuse</w:t>
            </w:r>
          </w:p>
        </w:tc>
      </w:tr>
      <w:tr w:rsidR="008C636F" w:rsidRPr="00890019" w14:paraId="2B0B0DEF" w14:textId="77777777">
        <w:trPr>
          <w:trHeight w:val="572"/>
        </w:trPr>
        <w:tc>
          <w:tcPr>
            <w:tcW w:w="5000" w:type="pct"/>
            <w:tcBorders>
              <w:top w:val="single" w:sz="4" w:space="0" w:color="auto"/>
              <w:left w:val="single" w:sz="4" w:space="0" w:color="auto"/>
              <w:bottom w:val="single" w:sz="4" w:space="0" w:color="auto"/>
              <w:right w:val="single" w:sz="4" w:space="0" w:color="auto"/>
            </w:tcBorders>
          </w:tcPr>
          <w:p w14:paraId="6510B874" w14:textId="179FA450" w:rsidR="009D413F" w:rsidRPr="00A35AD2" w:rsidRDefault="009D413F" w:rsidP="009D413F">
            <w:pPr>
              <w:jc w:val="both"/>
              <w:rPr>
                <w:lang w:val="en-US"/>
              </w:rPr>
            </w:pPr>
            <w:r w:rsidRPr="00A35AD2">
              <w:rPr>
                <w:lang w:val="ro-MD"/>
              </w:rPr>
              <w:t>I</w:t>
            </w:r>
            <w:r w:rsidRPr="00A35AD2">
              <w:rPr>
                <w:lang w:val="en-US"/>
              </w:rPr>
              <w:t>nstituirea unui cadru normativ clar și funcțional pentru organizarea și desfășurarea activității Secției Cultură Sîngerei, în vederea creșterii eficienței managementului instituțional și a calității serviciilor culturale oferite la nivel raional. Totodată, se are în vedere consolidarea rolului Secției Cultură ca autoritate coordonatoare și metodologică în domeniul culturii, prin asigurarea unei coordonări eficiente a instituțiilor culturale din subordine, implementarea coerentă a politicilor culturale naționale și locale, precum și promovarea transparenței, responsabilității și legalității în activitatea administrativă. De asemenea, proiectul urmărește dezvoltarea și valorificarea patrimoniului cultural, stimularea inițiativelor culturale și atragerea de finanțări externe, precum și îmbunătățirea colaborării interinstituționale cu alte domenii conexe, inclusiv educația și turismul.</w:t>
            </w:r>
          </w:p>
          <w:p w14:paraId="0BED560E" w14:textId="0BFD7A1C" w:rsidR="008C636F" w:rsidRPr="00A35AD2" w:rsidRDefault="009D413F" w:rsidP="00A35AD2">
            <w:pPr>
              <w:jc w:val="both"/>
              <w:rPr>
                <w:lang w:val="ro-RO"/>
              </w:rPr>
            </w:pPr>
            <w:r w:rsidRPr="00A35AD2">
              <w:rPr>
                <w:lang w:val="en-US"/>
              </w:rPr>
              <w:lastRenderedPageBreak/>
              <w:t>În vederea realizării acestor obiective, proiectul de decizie propune aprobarea Regulamentului de organizare și funcționare a Secției Cultură Sîngerei, care stabilește cadrul juridic și organizatoric al activității, reglementează atribuțiile și competențele instituției, definește structura organizatorică și relațiile funcționale, precum și instituie rolul Secției Cultură ca centru metodologic pentru instituțiile culturale din teritoriu. Totodată, regulamentul introduce mecanisme clare de planificare, monitorizare și evaluare a activităților culturale, reglementează colaborarea interinstituțională și prevede implementarea sistemului de control intern managerial, contribuind astfel la crearea unui sistem administrativ eficient, coerent și orientat spre performanță.</w:t>
            </w:r>
          </w:p>
        </w:tc>
      </w:tr>
      <w:tr w:rsidR="008C636F" w14:paraId="5C1CC504" w14:textId="77777777">
        <w:trPr>
          <w:trHeight w:val="148"/>
        </w:trPr>
        <w:tc>
          <w:tcPr>
            <w:tcW w:w="5000" w:type="pct"/>
            <w:tcBorders>
              <w:top w:val="single" w:sz="4" w:space="0" w:color="auto"/>
              <w:left w:val="single" w:sz="4" w:space="0" w:color="auto"/>
              <w:bottom w:val="single" w:sz="4" w:space="0" w:color="auto"/>
              <w:right w:val="single" w:sz="4" w:space="0" w:color="auto"/>
            </w:tcBorders>
          </w:tcPr>
          <w:p w14:paraId="6222622A" w14:textId="77777777" w:rsidR="008C636F" w:rsidRPr="00A35AD2" w:rsidRDefault="00096DA8">
            <w:pPr>
              <w:tabs>
                <w:tab w:val="left" w:pos="884"/>
                <w:tab w:val="left" w:pos="1196"/>
              </w:tabs>
              <w:jc w:val="both"/>
              <w:rPr>
                <w:b/>
                <w:iCs/>
              </w:rPr>
            </w:pPr>
            <w:r w:rsidRPr="00A35AD2">
              <w:rPr>
                <w:b/>
                <w:iCs/>
              </w:rPr>
              <w:lastRenderedPageBreak/>
              <w:t>4. Analiza impactului de reglementare</w:t>
            </w:r>
          </w:p>
        </w:tc>
      </w:tr>
      <w:tr w:rsidR="008C636F" w:rsidRPr="00890019" w14:paraId="79DDB9DD" w14:textId="77777777">
        <w:trPr>
          <w:trHeight w:val="188"/>
        </w:trPr>
        <w:tc>
          <w:tcPr>
            <w:tcW w:w="5000" w:type="pct"/>
            <w:tcBorders>
              <w:top w:val="single" w:sz="4" w:space="0" w:color="auto"/>
              <w:left w:val="single" w:sz="4" w:space="0" w:color="auto"/>
              <w:bottom w:val="single" w:sz="4" w:space="0" w:color="auto"/>
              <w:right w:val="single" w:sz="4" w:space="0" w:color="auto"/>
            </w:tcBorders>
          </w:tcPr>
          <w:p w14:paraId="56BF0989" w14:textId="77777777" w:rsidR="008C636F" w:rsidRPr="00A35AD2" w:rsidRDefault="00096DA8">
            <w:pPr>
              <w:pStyle w:val="af3"/>
              <w:jc w:val="both"/>
              <w:rPr>
                <w:rFonts w:ascii="Times New Roman" w:hAnsi="Times New Roman" w:cs="Times New Roman"/>
                <w:sz w:val="24"/>
                <w:szCs w:val="24"/>
              </w:rPr>
            </w:pPr>
            <w:r w:rsidRPr="00A35AD2">
              <w:rPr>
                <w:rFonts w:ascii="Times New Roman" w:hAnsi="Times New Roman" w:cs="Times New Roman"/>
                <w:sz w:val="24"/>
                <w:lang w:val="ro-RO"/>
              </w:rPr>
              <w:t>Proiectul de decizie nu înregistrează careva impacturi, costuri și respectiv, nu necesită alocarea mijloacelor financiare suplimentare din bugetul raional.</w:t>
            </w:r>
            <w:r w:rsidRPr="00A35AD2">
              <w:rPr>
                <w:rFonts w:ascii="Times New Roman" w:hAnsi="Times New Roman" w:cs="Times New Roman"/>
                <w:sz w:val="24"/>
                <w:szCs w:val="24"/>
              </w:rPr>
              <w:tab/>
            </w:r>
          </w:p>
        </w:tc>
      </w:tr>
      <w:tr w:rsidR="008C636F" w:rsidRPr="00890019" w14:paraId="37F1D756" w14:textId="77777777">
        <w:tc>
          <w:tcPr>
            <w:tcW w:w="5000" w:type="pct"/>
            <w:tcBorders>
              <w:top w:val="single" w:sz="4" w:space="0" w:color="auto"/>
              <w:left w:val="single" w:sz="4" w:space="0" w:color="auto"/>
              <w:bottom w:val="single" w:sz="4" w:space="0" w:color="auto"/>
              <w:right w:val="single" w:sz="4" w:space="0" w:color="auto"/>
            </w:tcBorders>
          </w:tcPr>
          <w:p w14:paraId="4A303F1B" w14:textId="77777777" w:rsidR="008C636F" w:rsidRPr="00A35AD2" w:rsidRDefault="00096DA8">
            <w:pPr>
              <w:tabs>
                <w:tab w:val="left" w:pos="884"/>
                <w:tab w:val="left" w:pos="1196"/>
              </w:tabs>
              <w:jc w:val="both"/>
              <w:rPr>
                <w:b/>
                <w:bCs/>
                <w:lang w:val="en-US"/>
              </w:rPr>
            </w:pPr>
            <w:r w:rsidRPr="00A35AD2">
              <w:rPr>
                <w:b/>
                <w:bCs/>
                <w:lang w:val="en-US"/>
              </w:rPr>
              <w:t xml:space="preserve">5. Compatibilitatea proiectului actului normative cu legislația UE </w:t>
            </w:r>
            <w:r w:rsidRPr="00A35AD2">
              <w:rPr>
                <w:lang w:val="en-US"/>
              </w:rPr>
              <w:t>- ,,Nu este aplicabil”</w:t>
            </w:r>
          </w:p>
        </w:tc>
      </w:tr>
      <w:tr w:rsidR="008C636F" w:rsidRPr="00890019" w14:paraId="2390B7C8" w14:textId="77777777">
        <w:tc>
          <w:tcPr>
            <w:tcW w:w="5000" w:type="pct"/>
            <w:tcBorders>
              <w:top w:val="single" w:sz="4" w:space="0" w:color="auto"/>
              <w:left w:val="single" w:sz="4" w:space="0" w:color="auto"/>
              <w:bottom w:val="single" w:sz="4" w:space="0" w:color="auto"/>
              <w:right w:val="single" w:sz="4" w:space="0" w:color="auto"/>
            </w:tcBorders>
          </w:tcPr>
          <w:p w14:paraId="53DEC0A1" w14:textId="77777777" w:rsidR="008C636F" w:rsidRPr="00A35AD2" w:rsidRDefault="00096DA8">
            <w:pPr>
              <w:tabs>
                <w:tab w:val="left" w:pos="884"/>
                <w:tab w:val="left" w:pos="1196"/>
              </w:tabs>
              <w:jc w:val="both"/>
              <w:rPr>
                <w:b/>
                <w:bCs/>
                <w:lang w:val="en-US"/>
              </w:rPr>
            </w:pPr>
            <w:r w:rsidRPr="00A35AD2">
              <w:rPr>
                <w:b/>
                <w:bCs/>
                <w:lang w:val="en-US"/>
              </w:rPr>
              <w:t xml:space="preserve">6.Avizarea și consultarea publică a proiectului actului normative - </w:t>
            </w:r>
            <w:r w:rsidRPr="00A35AD2">
              <w:rPr>
                <w:lang w:val="en-US"/>
              </w:rPr>
              <w:t>,,Nu este aplicabil”</w:t>
            </w:r>
          </w:p>
        </w:tc>
      </w:tr>
      <w:tr w:rsidR="008C636F" w:rsidRPr="00890019" w14:paraId="1F58CC8C" w14:textId="77777777">
        <w:tc>
          <w:tcPr>
            <w:tcW w:w="5000" w:type="pct"/>
            <w:tcBorders>
              <w:top w:val="single" w:sz="4" w:space="0" w:color="auto"/>
              <w:left w:val="single" w:sz="4" w:space="0" w:color="auto"/>
              <w:bottom w:val="single" w:sz="4" w:space="0" w:color="auto"/>
              <w:right w:val="single" w:sz="4" w:space="0" w:color="auto"/>
            </w:tcBorders>
          </w:tcPr>
          <w:p w14:paraId="01E73E97" w14:textId="77777777" w:rsidR="008C636F" w:rsidRPr="00A35AD2" w:rsidRDefault="00096DA8">
            <w:pPr>
              <w:tabs>
                <w:tab w:val="left" w:pos="884"/>
                <w:tab w:val="left" w:pos="1196"/>
              </w:tabs>
              <w:jc w:val="both"/>
              <w:rPr>
                <w:b/>
                <w:bCs/>
                <w:lang w:val="en-US"/>
              </w:rPr>
            </w:pPr>
            <w:r w:rsidRPr="00A35AD2">
              <w:rPr>
                <w:b/>
                <w:bCs/>
                <w:lang w:val="en-US"/>
              </w:rPr>
              <w:t xml:space="preserve">7.Concluziile expertizelor - </w:t>
            </w:r>
            <w:r w:rsidRPr="00A35AD2">
              <w:rPr>
                <w:lang w:val="en-US"/>
              </w:rPr>
              <w:t>,,Nu este aplicabil”</w:t>
            </w:r>
          </w:p>
        </w:tc>
      </w:tr>
      <w:tr w:rsidR="008C636F" w:rsidRPr="00890019" w14:paraId="5797B5BB" w14:textId="77777777">
        <w:tc>
          <w:tcPr>
            <w:tcW w:w="5000" w:type="pct"/>
            <w:tcBorders>
              <w:top w:val="single" w:sz="4" w:space="0" w:color="auto"/>
              <w:left w:val="single" w:sz="4" w:space="0" w:color="auto"/>
              <w:bottom w:val="single" w:sz="4" w:space="0" w:color="auto"/>
              <w:right w:val="single" w:sz="4" w:space="0" w:color="auto"/>
            </w:tcBorders>
          </w:tcPr>
          <w:p w14:paraId="2CABD85A" w14:textId="77777777" w:rsidR="008C636F" w:rsidRPr="00A35AD2" w:rsidRDefault="00096DA8">
            <w:pPr>
              <w:tabs>
                <w:tab w:val="left" w:pos="884"/>
                <w:tab w:val="left" w:pos="1196"/>
              </w:tabs>
              <w:jc w:val="both"/>
              <w:rPr>
                <w:b/>
                <w:bCs/>
                <w:lang w:val="en-US"/>
              </w:rPr>
            </w:pPr>
            <w:r w:rsidRPr="00A35AD2">
              <w:rPr>
                <w:b/>
                <w:bCs/>
                <w:lang w:val="en-US"/>
              </w:rPr>
              <w:t>8. Modul de încorporare a actului în cadrul normativ în vigoare</w:t>
            </w:r>
          </w:p>
        </w:tc>
      </w:tr>
      <w:tr w:rsidR="008C636F" w:rsidRPr="00890019" w14:paraId="5FACF1A1" w14:textId="77777777">
        <w:tc>
          <w:tcPr>
            <w:tcW w:w="5000" w:type="pct"/>
            <w:tcBorders>
              <w:top w:val="single" w:sz="4" w:space="0" w:color="auto"/>
              <w:left w:val="single" w:sz="4" w:space="0" w:color="auto"/>
              <w:bottom w:val="single" w:sz="4" w:space="0" w:color="auto"/>
              <w:right w:val="single" w:sz="4" w:space="0" w:color="auto"/>
            </w:tcBorders>
          </w:tcPr>
          <w:p w14:paraId="7223BA3F" w14:textId="076E2BB3" w:rsidR="008C636F" w:rsidRPr="00A35AD2" w:rsidRDefault="00286EE5" w:rsidP="00286EE5">
            <w:pPr>
              <w:jc w:val="both"/>
              <w:rPr>
                <w:bCs/>
                <w:kern w:val="16"/>
                <w:lang w:val="ro-RO"/>
              </w:rPr>
            </w:pPr>
            <w:r w:rsidRPr="00A35AD2">
              <w:rPr>
                <w:bCs/>
                <w:lang w:val="it-IT"/>
              </w:rPr>
              <w:t xml:space="preserve">Proiectul de decizie necesită </w:t>
            </w:r>
            <w:r w:rsidR="009D413F" w:rsidRPr="00A35AD2">
              <w:rPr>
                <w:bCs/>
                <w:lang w:val="it-IT"/>
              </w:rPr>
              <w:t xml:space="preserve">Abrogarea regulamentului de organizare și funcționare </w:t>
            </w:r>
            <w:r w:rsidR="00601162" w:rsidRPr="00A35AD2">
              <w:rPr>
                <w:bCs/>
                <w:lang w:val="it-IT"/>
              </w:rPr>
              <w:t>a Secției Cultură</w:t>
            </w:r>
            <w:r w:rsidR="005B5FAA" w:rsidRPr="00A35AD2">
              <w:rPr>
                <w:bCs/>
                <w:lang w:val="it-IT"/>
              </w:rPr>
              <w:t xml:space="preserve"> </w:t>
            </w:r>
          </w:p>
        </w:tc>
      </w:tr>
      <w:tr w:rsidR="008C636F" w:rsidRPr="00890019" w14:paraId="130C5427" w14:textId="77777777">
        <w:tc>
          <w:tcPr>
            <w:tcW w:w="5000" w:type="pct"/>
            <w:tcBorders>
              <w:top w:val="single" w:sz="4" w:space="0" w:color="auto"/>
              <w:left w:val="single" w:sz="4" w:space="0" w:color="auto"/>
              <w:bottom w:val="single" w:sz="4" w:space="0" w:color="auto"/>
              <w:right w:val="single" w:sz="4" w:space="0" w:color="auto"/>
            </w:tcBorders>
          </w:tcPr>
          <w:p w14:paraId="08BE9950" w14:textId="77777777" w:rsidR="008C636F" w:rsidRPr="00A35AD2" w:rsidRDefault="00096DA8">
            <w:pPr>
              <w:tabs>
                <w:tab w:val="left" w:pos="884"/>
                <w:tab w:val="left" w:pos="1196"/>
              </w:tabs>
              <w:jc w:val="both"/>
              <w:rPr>
                <w:b/>
                <w:bCs/>
                <w:lang w:val="en-US"/>
              </w:rPr>
            </w:pPr>
            <w:r w:rsidRPr="00A35AD2">
              <w:rPr>
                <w:b/>
                <w:bCs/>
                <w:lang w:val="en-US"/>
              </w:rPr>
              <w:t xml:space="preserve">9. Măsurile necesare pentru implementarea prevederilor proiectului actului normative - </w:t>
            </w:r>
            <w:r w:rsidRPr="00A35AD2">
              <w:rPr>
                <w:lang w:val="en-US"/>
              </w:rPr>
              <w:t>,,Nu este aplicabil”</w:t>
            </w:r>
          </w:p>
        </w:tc>
      </w:tr>
    </w:tbl>
    <w:p w14:paraId="3F04B5A6" w14:textId="77777777" w:rsidR="003A1ED3" w:rsidRDefault="00096DA8">
      <w:pPr>
        <w:tabs>
          <w:tab w:val="left" w:pos="930"/>
        </w:tabs>
        <w:rPr>
          <w:b/>
          <w:bCs/>
          <w:lang w:val="ro-RO"/>
        </w:rPr>
      </w:pPr>
      <w:r>
        <w:rPr>
          <w:b/>
          <w:bCs/>
          <w:lang w:val="ro-RO"/>
        </w:rPr>
        <w:t xml:space="preserve">         </w:t>
      </w:r>
    </w:p>
    <w:p w14:paraId="5B051796" w14:textId="452A644A" w:rsidR="008C636F" w:rsidRDefault="003A1ED3">
      <w:pPr>
        <w:tabs>
          <w:tab w:val="left" w:pos="930"/>
        </w:tabs>
        <w:rPr>
          <w:b/>
          <w:bCs/>
          <w:lang w:val="ro-RO"/>
        </w:rPr>
      </w:pPr>
      <w:r>
        <w:rPr>
          <w:b/>
          <w:bCs/>
          <w:lang w:val="ro-RO"/>
        </w:rPr>
        <w:t xml:space="preserve">        </w:t>
      </w:r>
      <w:r w:rsidR="00096DA8">
        <w:rPr>
          <w:b/>
          <w:bCs/>
          <w:lang w:val="ro-RO"/>
        </w:rPr>
        <w:t xml:space="preserve"> ÎNTOCMIT                                                                                  SUSȚIN</w:t>
      </w:r>
    </w:p>
    <w:p w14:paraId="6D66B0E7" w14:textId="77777777" w:rsidR="008C636F" w:rsidRDefault="00096DA8">
      <w:pPr>
        <w:tabs>
          <w:tab w:val="left" w:pos="930"/>
        </w:tabs>
        <w:rPr>
          <w:b/>
          <w:bCs/>
          <w:lang w:val="ro-RO"/>
        </w:rPr>
      </w:pPr>
      <w:r>
        <w:rPr>
          <w:b/>
          <w:bCs/>
          <w:lang w:val="ro-RO"/>
        </w:rPr>
        <w:t xml:space="preserve">     Șef Șecția Cultură                                                     Vicepreședinta raionului Sîngerei</w:t>
      </w:r>
    </w:p>
    <w:p w14:paraId="179D7ED6" w14:textId="10897A35" w:rsidR="008C636F" w:rsidRDefault="00096DA8">
      <w:pPr>
        <w:tabs>
          <w:tab w:val="left" w:pos="930"/>
        </w:tabs>
        <w:rPr>
          <w:b/>
          <w:bCs/>
          <w:lang w:val="ro-RO"/>
        </w:rPr>
      </w:pPr>
      <w:r>
        <w:rPr>
          <w:b/>
          <w:bCs/>
          <w:lang w:val="ro-RO"/>
        </w:rPr>
        <w:t xml:space="preserve">        Cobîlaș Dionisie                                                            </w:t>
      </w:r>
      <w:r w:rsidR="002A7C01">
        <w:rPr>
          <w:b/>
          <w:bCs/>
          <w:lang w:val="ro-RO"/>
        </w:rPr>
        <w:t xml:space="preserve"> </w:t>
      </w:r>
      <w:r>
        <w:rPr>
          <w:b/>
          <w:bCs/>
          <w:lang w:val="ro-RO"/>
        </w:rPr>
        <w:t xml:space="preserve">       Vera SERBUȘCA</w:t>
      </w:r>
    </w:p>
    <w:p w14:paraId="1017A765" w14:textId="77777777" w:rsidR="008C636F" w:rsidRDefault="00096DA8">
      <w:pPr>
        <w:tabs>
          <w:tab w:val="left" w:pos="930"/>
        </w:tabs>
        <w:rPr>
          <w:b/>
          <w:bCs/>
          <w:lang w:val="ro-RO"/>
        </w:rPr>
      </w:pPr>
      <w:r>
        <w:rPr>
          <w:b/>
          <w:bCs/>
          <w:lang w:val="ro-RO"/>
        </w:rPr>
        <w:t>___________________                                                             ________________________</w:t>
      </w:r>
    </w:p>
    <w:p w14:paraId="767D8463" w14:textId="77777777" w:rsidR="008C636F" w:rsidRDefault="008C636F">
      <w:pPr>
        <w:tabs>
          <w:tab w:val="left" w:pos="930"/>
        </w:tabs>
        <w:rPr>
          <w:b/>
          <w:bCs/>
          <w:lang w:val="ro-RO"/>
        </w:rPr>
      </w:pPr>
    </w:p>
    <w:p w14:paraId="484CBABB" w14:textId="77777777" w:rsidR="008C636F" w:rsidRDefault="00096DA8">
      <w:r>
        <w:br w:type="page"/>
      </w:r>
    </w:p>
    <w:tbl>
      <w:tblPr>
        <w:tblW w:w="5696"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6"/>
        <w:gridCol w:w="762"/>
      </w:tblGrid>
      <w:tr w:rsidR="008C636F" w14:paraId="179F13A5" w14:textId="77777777" w:rsidTr="0068037A">
        <w:trPr>
          <w:trHeight w:val="1977"/>
          <w:hidden/>
        </w:trPr>
        <w:tc>
          <w:tcPr>
            <w:tcW w:w="4653" w:type="pct"/>
            <w:tcBorders>
              <w:top w:val="nil"/>
              <w:left w:val="nil"/>
              <w:bottom w:val="nil"/>
              <w:right w:val="nil"/>
            </w:tcBorders>
          </w:tcPr>
          <w:p w14:paraId="42A48002" w14:textId="77777777" w:rsidR="008C636F" w:rsidRDefault="008C636F">
            <w:pPr>
              <w:rPr>
                <w:b/>
                <w:bCs/>
                <w:vanish/>
                <w:lang w:val="ro-RO"/>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6600"/>
              <w:gridCol w:w="2167"/>
            </w:tblGrid>
            <w:tr w:rsidR="008C636F" w14:paraId="2F2C2FFC" w14:textId="77777777">
              <w:trPr>
                <w:trHeight w:val="1977"/>
              </w:trPr>
              <w:tc>
                <w:tcPr>
                  <w:tcW w:w="1440" w:type="dxa"/>
                  <w:tcBorders>
                    <w:top w:val="nil"/>
                    <w:left w:val="nil"/>
                    <w:bottom w:val="single" w:sz="4" w:space="0" w:color="auto"/>
                    <w:right w:val="nil"/>
                  </w:tcBorders>
                </w:tcPr>
                <w:p w14:paraId="3BCFB208" w14:textId="77777777" w:rsidR="008C636F" w:rsidRDefault="00096DA8">
                  <w:pPr>
                    <w:jc w:val="center"/>
                    <w:rPr>
                      <w:b/>
                      <w:lang w:val="ro-RO"/>
                    </w:rPr>
                  </w:pPr>
                  <w:r>
                    <w:rPr>
                      <w:b/>
                      <w:bCs/>
                      <w:lang w:val="ro-RO"/>
                    </w:rPr>
                    <w:t xml:space="preserve">        </w:t>
                  </w:r>
                </w:p>
                <w:p w14:paraId="29EDA690" w14:textId="77777777" w:rsidR="008C636F" w:rsidRDefault="00096DA8">
                  <w:pPr>
                    <w:rPr>
                      <w:lang w:val="ro-RO"/>
                    </w:rPr>
                  </w:pPr>
                  <w:r>
                    <w:rPr>
                      <w:noProof/>
                    </w:rPr>
                    <w:drawing>
                      <wp:anchor distT="0" distB="0" distL="114300" distR="114300" simplePos="0" relativeHeight="251662336" behindDoc="0" locked="0" layoutInCell="1" allowOverlap="0" wp14:anchorId="28D1BA45" wp14:editId="10E39F3E">
                        <wp:simplePos x="0" y="0"/>
                        <wp:positionH relativeFrom="margin">
                          <wp:posOffset>116205</wp:posOffset>
                        </wp:positionH>
                        <wp:positionV relativeFrom="margin">
                          <wp:posOffset>224790</wp:posOffset>
                        </wp:positionV>
                        <wp:extent cx="569595" cy="689610"/>
                        <wp:effectExtent l="0" t="0" r="1905" b="0"/>
                        <wp:wrapNone/>
                        <wp:docPr id="474390698" name="Рисунок 474390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90698" name="Рисунок 4743906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9595" cy="689610"/>
                                </a:xfrm>
                                <a:prstGeom prst="rect">
                                  <a:avLst/>
                                </a:prstGeom>
                                <a:noFill/>
                                <a:ln>
                                  <a:noFill/>
                                </a:ln>
                              </pic:spPr>
                            </pic:pic>
                          </a:graphicData>
                        </a:graphic>
                      </wp:anchor>
                    </w:drawing>
                  </w:r>
                </w:p>
              </w:tc>
              <w:tc>
                <w:tcPr>
                  <w:tcW w:w="6600" w:type="dxa"/>
                  <w:tcBorders>
                    <w:top w:val="nil"/>
                    <w:left w:val="nil"/>
                    <w:bottom w:val="single" w:sz="4" w:space="0" w:color="auto"/>
                    <w:right w:val="nil"/>
                  </w:tcBorders>
                </w:tcPr>
                <w:p w14:paraId="1D1BAAFF" w14:textId="77777777" w:rsidR="008C636F" w:rsidRDefault="008C636F">
                  <w:pPr>
                    <w:rPr>
                      <w:lang w:val="ro-RO"/>
                    </w:rPr>
                  </w:pPr>
                </w:p>
                <w:p w14:paraId="497BB375" w14:textId="77777777" w:rsidR="008C636F" w:rsidRDefault="00096DA8">
                  <w:pPr>
                    <w:pStyle w:val="1"/>
                    <w:jc w:val="center"/>
                    <w:rPr>
                      <w:sz w:val="24"/>
                      <w:szCs w:val="24"/>
                      <w:lang w:val="it-IT"/>
                    </w:rPr>
                  </w:pPr>
                  <w:r>
                    <w:rPr>
                      <w:sz w:val="24"/>
                      <w:szCs w:val="24"/>
                      <w:lang w:val="it-IT"/>
                    </w:rPr>
                    <w:t>REPUBLICA  MOLDOVA</w:t>
                  </w:r>
                </w:p>
                <w:p w14:paraId="29A05989" w14:textId="77777777" w:rsidR="008C636F" w:rsidRDefault="008C636F">
                  <w:pPr>
                    <w:pStyle w:val="1"/>
                    <w:jc w:val="center"/>
                    <w:rPr>
                      <w:sz w:val="24"/>
                      <w:szCs w:val="24"/>
                      <w:lang w:val="it-IT"/>
                    </w:rPr>
                  </w:pPr>
                </w:p>
                <w:p w14:paraId="0797A1EF" w14:textId="77777777" w:rsidR="008C636F" w:rsidRDefault="00096DA8">
                  <w:pPr>
                    <w:pStyle w:val="1"/>
                    <w:jc w:val="center"/>
                    <w:rPr>
                      <w:sz w:val="24"/>
                      <w:szCs w:val="24"/>
                      <w:lang w:val="ro-RO"/>
                    </w:rPr>
                  </w:pPr>
                  <w:r>
                    <w:rPr>
                      <w:sz w:val="24"/>
                      <w:szCs w:val="24"/>
                      <w:lang w:val="it-IT"/>
                    </w:rPr>
                    <w:t>CONSILIUL  RAIONAL  S</w:t>
                  </w:r>
                  <w:r>
                    <w:rPr>
                      <w:sz w:val="24"/>
                      <w:szCs w:val="24"/>
                      <w:lang w:val="ro-RO"/>
                    </w:rPr>
                    <w:t>ÎNGEREI</w:t>
                  </w:r>
                </w:p>
                <w:p w14:paraId="5F2BF409" w14:textId="77777777" w:rsidR="008C636F" w:rsidRDefault="008C636F">
                  <w:pPr>
                    <w:rPr>
                      <w:lang w:val="ro-RO"/>
                    </w:rPr>
                  </w:pPr>
                </w:p>
                <w:p w14:paraId="343DEF89" w14:textId="77777777" w:rsidR="008C636F" w:rsidRDefault="00096DA8">
                  <w:pPr>
                    <w:rPr>
                      <w:b/>
                      <w:bCs/>
                      <w:lang w:val="ro-RO"/>
                    </w:rPr>
                  </w:pPr>
                  <w:r>
                    <w:rPr>
                      <w:lang w:val="ro-RO"/>
                    </w:rPr>
                    <w:t xml:space="preserve">                           </w:t>
                  </w:r>
                  <w:r>
                    <w:rPr>
                      <w:b/>
                      <w:bCs/>
                      <w:lang w:val="ro-RO"/>
                    </w:rPr>
                    <w:t>PREȘEDINTELE  RAIONULUI</w:t>
                  </w:r>
                </w:p>
                <w:p w14:paraId="471B34AF" w14:textId="77777777" w:rsidR="008C636F" w:rsidRDefault="008C636F">
                  <w:pPr>
                    <w:jc w:val="center"/>
                    <w:rPr>
                      <w:lang w:val="it-IT"/>
                    </w:rPr>
                  </w:pPr>
                </w:p>
              </w:tc>
              <w:tc>
                <w:tcPr>
                  <w:tcW w:w="2167" w:type="dxa"/>
                  <w:tcBorders>
                    <w:top w:val="nil"/>
                    <w:left w:val="nil"/>
                    <w:bottom w:val="single" w:sz="4" w:space="0" w:color="auto"/>
                    <w:right w:val="nil"/>
                  </w:tcBorders>
                </w:tcPr>
                <w:p w14:paraId="79C0F636" w14:textId="77777777" w:rsidR="008C636F" w:rsidRDefault="00096DA8">
                  <w:pPr>
                    <w:jc w:val="center"/>
                    <w:rPr>
                      <w:lang w:val="it-IT"/>
                    </w:rPr>
                  </w:pPr>
                  <w:r>
                    <w:rPr>
                      <w:noProof/>
                    </w:rPr>
                    <w:drawing>
                      <wp:anchor distT="0" distB="0" distL="114300" distR="114300" simplePos="0" relativeHeight="251661312" behindDoc="1" locked="0" layoutInCell="1" allowOverlap="1" wp14:anchorId="0760CD84" wp14:editId="27B8F914">
                        <wp:simplePos x="0" y="0"/>
                        <wp:positionH relativeFrom="column">
                          <wp:posOffset>5372100</wp:posOffset>
                        </wp:positionH>
                        <wp:positionV relativeFrom="paragraph">
                          <wp:posOffset>114300</wp:posOffset>
                        </wp:positionV>
                        <wp:extent cx="687070" cy="866140"/>
                        <wp:effectExtent l="0" t="0" r="0" b="0"/>
                        <wp:wrapNone/>
                        <wp:docPr id="1123957940" name="Рисунок 1123957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57940" name="Рисунок 11239579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87070" cy="866140"/>
                                </a:xfrm>
                                <a:prstGeom prst="rect">
                                  <a:avLst/>
                                </a:prstGeom>
                                <a:noFill/>
                                <a:ln>
                                  <a:noFill/>
                                </a:ln>
                              </pic:spPr>
                            </pic:pic>
                          </a:graphicData>
                        </a:graphic>
                      </wp:anchor>
                    </w:drawing>
                  </w:r>
                </w:p>
                <w:p w14:paraId="7AB2713F" w14:textId="77777777" w:rsidR="008C636F" w:rsidRDefault="00096DA8">
                  <w:pPr>
                    <w:jc w:val="center"/>
                    <w:rPr>
                      <w:b/>
                      <w:lang w:val="en-US"/>
                    </w:rPr>
                  </w:pPr>
                  <w:r>
                    <w:rPr>
                      <w:b/>
                      <w:noProof/>
                    </w:rPr>
                    <w:drawing>
                      <wp:inline distT="0" distB="0" distL="0" distR="0" wp14:anchorId="7E38299C" wp14:editId="4BA15276">
                        <wp:extent cx="609600" cy="773430"/>
                        <wp:effectExtent l="0" t="0" r="0" b="7620"/>
                        <wp:docPr id="1472861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61164"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10880" cy="775348"/>
                                </a:xfrm>
                                <a:prstGeom prst="rect">
                                  <a:avLst/>
                                </a:prstGeom>
                                <a:noFill/>
                                <a:ln>
                                  <a:noFill/>
                                </a:ln>
                              </pic:spPr>
                            </pic:pic>
                          </a:graphicData>
                        </a:graphic>
                      </wp:inline>
                    </w:drawing>
                  </w:r>
                </w:p>
                <w:p w14:paraId="2AAF7300" w14:textId="77777777" w:rsidR="008C636F" w:rsidRDefault="008C636F">
                  <w:pPr>
                    <w:rPr>
                      <w:lang w:val="en-US"/>
                    </w:rPr>
                  </w:pPr>
                </w:p>
                <w:p w14:paraId="27DB9D3F" w14:textId="77777777" w:rsidR="008C636F" w:rsidRDefault="008C636F">
                  <w:pPr>
                    <w:jc w:val="right"/>
                    <w:rPr>
                      <w:lang w:val="en-US"/>
                    </w:rPr>
                  </w:pPr>
                </w:p>
              </w:tc>
            </w:tr>
            <w:tr w:rsidR="008C636F" w:rsidRPr="00890019" w14:paraId="3A054E11" w14:textId="77777777">
              <w:trPr>
                <w:trHeight w:val="70"/>
              </w:trPr>
              <w:tc>
                <w:tcPr>
                  <w:tcW w:w="10207" w:type="dxa"/>
                  <w:gridSpan w:val="3"/>
                  <w:tcBorders>
                    <w:top w:val="single" w:sz="4" w:space="0" w:color="auto"/>
                    <w:left w:val="nil"/>
                    <w:bottom w:val="thinThickSmallGap" w:sz="24" w:space="0" w:color="auto"/>
                    <w:right w:val="nil"/>
                  </w:tcBorders>
                </w:tcPr>
                <w:p w14:paraId="4D39B5EE" w14:textId="77777777" w:rsidR="008C636F" w:rsidRDefault="00096DA8">
                  <w:pPr>
                    <w:rPr>
                      <w:b/>
                      <w:lang w:val="ro-RO"/>
                    </w:rPr>
                  </w:pPr>
                  <w:r>
                    <w:rPr>
                      <w:b/>
                      <w:lang w:val="ro-RO"/>
                    </w:rPr>
                    <w:t xml:space="preserve">  Secția Cultură</w:t>
                  </w:r>
                </w:p>
              </w:tc>
            </w:tr>
          </w:tbl>
          <w:p w14:paraId="7890BD83" w14:textId="77777777" w:rsidR="008C636F" w:rsidRDefault="00096DA8">
            <w:pPr>
              <w:spacing w:line="276" w:lineRule="auto"/>
              <w:jc w:val="center"/>
              <w:rPr>
                <w:rFonts w:eastAsiaTheme="minorEastAsia"/>
                <w:b/>
                <w:lang w:val="en-US" w:eastAsia="en-US"/>
              </w:rPr>
            </w:pPr>
            <w:r>
              <w:rPr>
                <w:rFonts w:eastAsiaTheme="minorEastAsia"/>
                <w:b/>
                <w:lang w:val="en-US" w:eastAsia="en-US"/>
              </w:rPr>
              <w:t>PROIECT DE  DECIZIE nr. __________</w:t>
            </w:r>
          </w:p>
          <w:p w14:paraId="63C33489" w14:textId="6F4CA713" w:rsidR="008C636F" w:rsidRDefault="00096DA8">
            <w:pPr>
              <w:spacing w:line="276" w:lineRule="auto"/>
              <w:jc w:val="center"/>
              <w:rPr>
                <w:rFonts w:eastAsiaTheme="minorEastAsia"/>
                <w:b/>
                <w:lang w:val="en-US" w:eastAsia="en-US"/>
              </w:rPr>
            </w:pPr>
            <w:r>
              <w:rPr>
                <w:rFonts w:eastAsiaTheme="minorEastAsia"/>
                <w:b/>
                <w:lang w:val="en-US" w:eastAsia="en-US"/>
              </w:rPr>
              <w:t>din _________________ 202</w:t>
            </w:r>
            <w:r w:rsidR="00C726D8">
              <w:rPr>
                <w:rFonts w:eastAsiaTheme="minorEastAsia"/>
                <w:b/>
                <w:lang w:val="en-US" w:eastAsia="en-US"/>
              </w:rPr>
              <w:t>6</w:t>
            </w:r>
          </w:p>
          <w:p w14:paraId="52C365FA" w14:textId="77777777" w:rsidR="008C636F" w:rsidRDefault="008C636F">
            <w:pPr>
              <w:rPr>
                <w:b/>
                <w:lang w:val="en-US"/>
              </w:rPr>
            </w:pPr>
          </w:p>
          <w:p w14:paraId="2D2C0B7A" w14:textId="77777777" w:rsidR="0068037A" w:rsidRPr="00286EE5" w:rsidRDefault="0068037A" w:rsidP="00286EE5">
            <w:pPr>
              <w:spacing w:line="276" w:lineRule="auto"/>
              <w:rPr>
                <w:b/>
                <w:kern w:val="16"/>
                <w:lang w:val="ro-RO"/>
              </w:rPr>
            </w:pPr>
            <w:r w:rsidRPr="00286EE5">
              <w:rPr>
                <w:b/>
                <w:lang w:val="en-US"/>
              </w:rPr>
              <w:t xml:space="preserve">Cu privire la </w:t>
            </w:r>
            <w:r w:rsidRPr="00286EE5">
              <w:rPr>
                <w:rFonts w:eastAsia="Calibri"/>
                <w:b/>
                <w:lang w:val="ro-RO" w:eastAsia="en-US"/>
              </w:rPr>
              <w:t xml:space="preserve">aprobarea Regulamentului </w:t>
            </w:r>
            <w:r w:rsidRPr="00286EE5">
              <w:rPr>
                <w:b/>
                <w:kern w:val="16"/>
                <w:lang w:val="ro-RO"/>
              </w:rPr>
              <w:t>de organizare şi funcţionare a</w:t>
            </w:r>
          </w:p>
          <w:p w14:paraId="0DC11121" w14:textId="05C01299" w:rsidR="0068037A" w:rsidRPr="00286EE5" w:rsidRDefault="003A1ED3" w:rsidP="00286EE5">
            <w:pPr>
              <w:spacing w:line="276" w:lineRule="auto"/>
              <w:rPr>
                <w:lang w:val="ro-RO"/>
              </w:rPr>
            </w:pPr>
            <w:r>
              <w:rPr>
                <w:b/>
                <w:kern w:val="16"/>
                <w:lang w:val="ro-RO"/>
              </w:rPr>
              <w:t>Secției Cultură</w:t>
            </w:r>
          </w:p>
          <w:p w14:paraId="42BACF3E" w14:textId="77777777" w:rsidR="0068037A" w:rsidRPr="00286EE5" w:rsidRDefault="0068037A" w:rsidP="00286EE5">
            <w:pPr>
              <w:spacing w:line="276" w:lineRule="auto"/>
              <w:ind w:firstLine="430"/>
              <w:jc w:val="both"/>
              <w:rPr>
                <w:lang w:val="ro-RO"/>
              </w:rPr>
            </w:pPr>
          </w:p>
          <w:p w14:paraId="13DA7EBC" w14:textId="4F7F78B9" w:rsidR="00B8532E" w:rsidRPr="00B8532E" w:rsidRDefault="00B8532E" w:rsidP="00B8532E">
            <w:pPr>
              <w:spacing w:line="276" w:lineRule="auto"/>
              <w:ind w:firstLine="602"/>
              <w:rPr>
                <w:lang w:val="ro-RO"/>
              </w:rPr>
            </w:pPr>
            <w:r>
              <w:rPr>
                <w:lang w:val="en-US"/>
              </w:rPr>
              <w:t>Având în vedere: Nota de Fundamentare c</w:t>
            </w:r>
            <w:r w:rsidRPr="001266CF">
              <w:rPr>
                <w:lang w:val="en-US"/>
              </w:rPr>
              <w:t>u privire la</w:t>
            </w:r>
            <w:r w:rsidRPr="00286EE5">
              <w:rPr>
                <w:rFonts w:eastAsia="Calibri"/>
                <w:b/>
                <w:lang w:val="ro-RO" w:eastAsia="en-US"/>
              </w:rPr>
              <w:t xml:space="preserve"> </w:t>
            </w:r>
            <w:r w:rsidRPr="00B8532E">
              <w:rPr>
                <w:rFonts w:eastAsia="Calibri"/>
                <w:lang w:val="ro-RO" w:eastAsia="en-US"/>
              </w:rPr>
              <w:t xml:space="preserve">aprobarea Regulamentului </w:t>
            </w:r>
            <w:r w:rsidRPr="00B8532E">
              <w:rPr>
                <w:kern w:val="16"/>
                <w:lang w:val="ro-RO"/>
              </w:rPr>
              <w:t>de organizare şi funcţionare a</w:t>
            </w:r>
            <w:r>
              <w:rPr>
                <w:kern w:val="16"/>
                <w:lang w:val="ro-RO"/>
              </w:rPr>
              <w:t xml:space="preserve"> </w:t>
            </w:r>
            <w:r w:rsidRPr="00B8532E">
              <w:rPr>
                <w:kern w:val="16"/>
                <w:lang w:val="ro-RO"/>
              </w:rPr>
              <w:t>Secției Cultură</w:t>
            </w:r>
            <w:r>
              <w:rPr>
                <w:kern w:val="16"/>
                <w:lang w:val="ro-RO"/>
              </w:rPr>
              <w:t>;</w:t>
            </w:r>
          </w:p>
          <w:p w14:paraId="3496267D" w14:textId="07AD43C4" w:rsidR="00C726D8" w:rsidRPr="00C93110" w:rsidRDefault="003A1ED3" w:rsidP="00B8532E">
            <w:pPr>
              <w:spacing w:line="276" w:lineRule="auto"/>
              <w:ind w:firstLine="602"/>
              <w:jc w:val="both"/>
              <w:rPr>
                <w:lang w:val="en-US"/>
              </w:rPr>
            </w:pPr>
            <w:r w:rsidRPr="003A1ED3">
              <w:rPr>
                <w:lang w:val="en-US"/>
              </w:rPr>
              <w:t xml:space="preserve">În temeiul </w:t>
            </w:r>
            <w:r w:rsidR="00D06D0C">
              <w:rPr>
                <w:lang w:val="en-US"/>
              </w:rPr>
              <w:t>art. 43 alin. (</w:t>
            </w:r>
            <w:r w:rsidR="00B8532E">
              <w:rPr>
                <w:lang w:val="en-US"/>
              </w:rPr>
              <w:t>1</w:t>
            </w:r>
            <w:r w:rsidR="00D06D0C">
              <w:rPr>
                <w:lang w:val="en-US"/>
              </w:rPr>
              <w:t>)</w:t>
            </w:r>
            <w:r w:rsidR="00B8532E">
              <w:rPr>
                <w:lang w:val="en-US"/>
              </w:rPr>
              <w:t xml:space="preserve"> lit. q) și alin. (2)</w:t>
            </w:r>
            <w:r w:rsidR="00D06D0C">
              <w:rPr>
                <w:lang w:val="en-US"/>
              </w:rPr>
              <w:t xml:space="preserve">, </w:t>
            </w:r>
            <w:r w:rsidRPr="003A1ED3">
              <w:rPr>
                <w:lang w:val="en-US"/>
              </w:rPr>
              <w:t xml:space="preserve">art. 46 din Legea nr. 436/2006 privind administrația publică locală, </w:t>
            </w:r>
            <w:r w:rsidR="00B8532E" w:rsidRPr="00B8532E">
              <w:rPr>
                <w:lang w:val="en-US"/>
              </w:rPr>
              <w:t>art. 198-199 din Codul Muncii al Republicii Moldova nr. 154/2003,</w:t>
            </w:r>
            <w:r w:rsidR="00A35AD2" w:rsidRPr="00A35AD2">
              <w:rPr>
                <w:lang w:val="en-US"/>
              </w:rPr>
              <w:t xml:space="preserve"> Legea culturii nr. 413/1999, </w:t>
            </w:r>
            <w:r w:rsidR="00B8532E" w:rsidRPr="00B8532E">
              <w:rPr>
                <w:lang w:val="en-US"/>
              </w:rPr>
              <w:t xml:space="preserve"> Legea nr. 100/2017 cu privire la actele normative, </w:t>
            </w:r>
            <w:r w:rsidR="00C93110">
              <w:rPr>
                <w:lang w:val="en-US"/>
              </w:rPr>
              <w:t xml:space="preserve">Legea nr. 435/2006 </w:t>
            </w:r>
            <w:r w:rsidR="00C93110" w:rsidRPr="00B8532E">
              <w:rPr>
                <w:lang w:val="en-US"/>
              </w:rPr>
              <w:t xml:space="preserve">privind descentralizarea </w:t>
            </w:r>
            <w:r w:rsidR="00C93110">
              <w:rPr>
                <w:lang w:val="en-US"/>
              </w:rPr>
              <w:t>administrativă,</w:t>
            </w:r>
            <w:r w:rsidR="00C93110" w:rsidRPr="00C93110">
              <w:rPr>
                <w:lang w:val="en-US"/>
              </w:rPr>
              <w:t xml:space="preserve"> </w:t>
            </w:r>
            <w:r w:rsidR="00C73F2A">
              <w:rPr>
                <w:lang w:val="en-US"/>
              </w:rPr>
              <w:t>Decizia nr. 7/10 din 26.09.2024</w:t>
            </w:r>
            <w:r w:rsidR="00C73F2A" w:rsidRPr="00C73F2A">
              <w:rPr>
                <w:lang w:val="en-US"/>
              </w:rPr>
              <w:t xml:space="preserve"> </w:t>
            </w:r>
            <w:r w:rsidR="00C73F2A">
              <w:rPr>
                <w:lang w:val="en-US"/>
              </w:rPr>
              <w:t>„</w:t>
            </w:r>
            <w:r w:rsidR="00C73F2A" w:rsidRPr="00C73F2A">
              <w:rPr>
                <w:lang w:val="en-US"/>
              </w:rPr>
              <w:t>Cu privire la aprobarea structurii și efectivului-limită ale Secției Cultură</w:t>
            </w:r>
            <w:r w:rsidR="00C73F2A">
              <w:rPr>
                <w:lang w:val="en-US"/>
              </w:rPr>
              <w:t xml:space="preserve">”, </w:t>
            </w:r>
            <w:r w:rsidR="00C93110" w:rsidRPr="00C93110">
              <w:rPr>
                <w:lang w:val="en-US"/>
              </w:rPr>
              <w:t>precum şi în scopul asigurării bunei funcţionalităţi a</w:t>
            </w:r>
            <w:r w:rsidR="00C93110" w:rsidRPr="00B8532E">
              <w:rPr>
                <w:kern w:val="16"/>
                <w:lang w:val="ro-RO"/>
              </w:rPr>
              <w:t xml:space="preserve"> Secției Cultură</w:t>
            </w:r>
            <w:r w:rsidR="00C93110">
              <w:rPr>
                <w:kern w:val="16"/>
                <w:lang w:val="ro-RO"/>
              </w:rPr>
              <w:t>,</w:t>
            </w:r>
          </w:p>
          <w:p w14:paraId="5AE3D60F" w14:textId="7F4F5802" w:rsidR="008C636F" w:rsidRPr="00B8532E" w:rsidRDefault="00096DA8" w:rsidP="00B8532E">
            <w:pPr>
              <w:spacing w:line="276" w:lineRule="auto"/>
              <w:ind w:firstLine="602"/>
              <w:jc w:val="both"/>
              <w:rPr>
                <w:b/>
                <w:lang w:val="it-IT"/>
              </w:rPr>
            </w:pPr>
            <w:r w:rsidRPr="00B8532E">
              <w:rPr>
                <w:b/>
                <w:lang w:val="it-IT"/>
              </w:rPr>
              <w:t>Consiliul raional,</w:t>
            </w:r>
            <w:r w:rsidR="00A458E5" w:rsidRPr="00B8532E">
              <w:rPr>
                <w:b/>
                <w:lang w:val="it-IT"/>
              </w:rPr>
              <w:t xml:space="preserve">  </w:t>
            </w:r>
          </w:p>
          <w:p w14:paraId="0822057D" w14:textId="77777777" w:rsidR="003A1ED3" w:rsidRDefault="00096DA8" w:rsidP="00286EE5">
            <w:pPr>
              <w:spacing w:line="276" w:lineRule="auto"/>
              <w:jc w:val="both"/>
              <w:rPr>
                <w:b/>
                <w:lang w:val="it-IT"/>
              </w:rPr>
            </w:pPr>
            <w:r w:rsidRPr="00286EE5">
              <w:rPr>
                <w:b/>
                <w:lang w:val="it-IT"/>
              </w:rPr>
              <w:t xml:space="preserve">                                                                   </w:t>
            </w:r>
          </w:p>
          <w:p w14:paraId="7197D410" w14:textId="71B6AD44" w:rsidR="008C636F" w:rsidRPr="00286EE5" w:rsidRDefault="00096DA8" w:rsidP="003A1ED3">
            <w:pPr>
              <w:spacing w:line="276" w:lineRule="auto"/>
              <w:jc w:val="center"/>
              <w:rPr>
                <w:b/>
                <w:lang w:val="it-IT"/>
              </w:rPr>
            </w:pPr>
            <w:r w:rsidRPr="00286EE5">
              <w:rPr>
                <w:b/>
                <w:lang w:val="it-IT"/>
              </w:rPr>
              <w:t>D E C I D E:</w:t>
            </w:r>
          </w:p>
          <w:p w14:paraId="68AF691D" w14:textId="1B541DB0" w:rsidR="008C636F" w:rsidRPr="00286EE5" w:rsidRDefault="00096DA8" w:rsidP="00A35AD2">
            <w:pPr>
              <w:pStyle w:val="af2"/>
              <w:numPr>
                <w:ilvl w:val="0"/>
                <w:numId w:val="2"/>
              </w:numPr>
              <w:tabs>
                <w:tab w:val="left" w:pos="768"/>
                <w:tab w:val="left" w:pos="885"/>
              </w:tabs>
              <w:spacing w:line="276" w:lineRule="auto"/>
              <w:ind w:left="34" w:firstLine="568"/>
              <w:jc w:val="both"/>
              <w:rPr>
                <w:bCs/>
                <w:kern w:val="16"/>
                <w:lang w:val="ro-RO"/>
              </w:rPr>
            </w:pPr>
            <w:r w:rsidRPr="00286EE5">
              <w:rPr>
                <w:lang w:val="ro-RO"/>
              </w:rPr>
              <w:t xml:space="preserve">Se aprobă într-o nouă redacție </w:t>
            </w:r>
            <w:r w:rsidRPr="00286EE5">
              <w:rPr>
                <w:rFonts w:eastAsia="Calibri"/>
                <w:bCs/>
                <w:lang w:val="ro-RO" w:eastAsia="en-US"/>
              </w:rPr>
              <w:t xml:space="preserve">Regulamentul </w:t>
            </w:r>
            <w:r w:rsidR="00286EE5" w:rsidRPr="00286EE5">
              <w:rPr>
                <w:bCs/>
                <w:kern w:val="16"/>
                <w:lang w:val="ro-RO"/>
              </w:rPr>
              <w:t xml:space="preserve">de organizare şi funcţionare a </w:t>
            </w:r>
            <w:r w:rsidR="003A1ED3">
              <w:rPr>
                <w:bCs/>
                <w:kern w:val="16"/>
                <w:lang w:val="ro-RO"/>
              </w:rPr>
              <w:t xml:space="preserve">Secției Cultură Sîngerei </w:t>
            </w:r>
            <w:r w:rsidRPr="00286EE5">
              <w:rPr>
                <w:bCs/>
                <w:kern w:val="16"/>
                <w:lang w:val="ro-RO"/>
              </w:rPr>
              <w:t>(Se anexează)</w:t>
            </w:r>
            <w:r w:rsidR="00A46A05">
              <w:rPr>
                <w:bCs/>
                <w:kern w:val="16"/>
                <w:lang w:val="ro-RO"/>
              </w:rPr>
              <w:t>.</w:t>
            </w:r>
          </w:p>
          <w:p w14:paraId="7D9F31A7" w14:textId="77777777" w:rsidR="00C93110" w:rsidRDefault="00096DA8" w:rsidP="00A35AD2">
            <w:pPr>
              <w:pStyle w:val="af2"/>
              <w:numPr>
                <w:ilvl w:val="0"/>
                <w:numId w:val="2"/>
              </w:numPr>
              <w:tabs>
                <w:tab w:val="left" w:pos="768"/>
                <w:tab w:val="left" w:pos="885"/>
              </w:tabs>
              <w:spacing w:line="276" w:lineRule="auto"/>
              <w:ind w:left="34" w:firstLine="568"/>
              <w:jc w:val="both"/>
              <w:rPr>
                <w:lang w:val="ro-RO"/>
              </w:rPr>
            </w:pPr>
            <w:r w:rsidRPr="00286EE5">
              <w:rPr>
                <w:lang w:val="ro-RO"/>
              </w:rPr>
              <w:t>Se desemnează Secția Cultură (dl Dionisie Cobîlaș) responsabil</w:t>
            </w:r>
            <w:r w:rsidR="00C93110">
              <w:rPr>
                <w:lang w:val="ro-RO"/>
              </w:rPr>
              <w:t>ă</w:t>
            </w:r>
            <w:r w:rsidRPr="00286EE5">
              <w:rPr>
                <w:lang w:val="ro-RO"/>
              </w:rPr>
              <w:t xml:space="preserve"> </w:t>
            </w:r>
            <w:r w:rsidR="00C93110" w:rsidRPr="00C93110">
              <w:rPr>
                <w:lang w:val="ro-RO"/>
              </w:rPr>
              <w:t>de aducerea la</w:t>
            </w:r>
            <w:r w:rsidR="00C93110">
              <w:rPr>
                <w:lang w:val="ro-RO"/>
              </w:rPr>
              <w:t xml:space="preserve"> </w:t>
            </w:r>
            <w:r w:rsidR="00C93110" w:rsidRPr="00C93110">
              <w:rPr>
                <w:lang w:val="ro-RO"/>
              </w:rPr>
              <w:t xml:space="preserve">cunoştinţa salariaţilor, sub semnătură, a prevederilor prezentului Regulament. </w:t>
            </w:r>
          </w:p>
          <w:p w14:paraId="56A51165" w14:textId="5D10403F" w:rsidR="00C93110" w:rsidRPr="00C93110" w:rsidRDefault="00C93110" w:rsidP="00A35AD2">
            <w:pPr>
              <w:pStyle w:val="af2"/>
              <w:numPr>
                <w:ilvl w:val="0"/>
                <w:numId w:val="2"/>
              </w:numPr>
              <w:tabs>
                <w:tab w:val="left" w:pos="768"/>
                <w:tab w:val="left" w:pos="885"/>
              </w:tabs>
              <w:spacing w:line="276" w:lineRule="auto"/>
              <w:ind w:left="34" w:firstLine="568"/>
              <w:jc w:val="both"/>
              <w:rPr>
                <w:lang w:val="ro-RO"/>
              </w:rPr>
            </w:pPr>
            <w:r w:rsidRPr="00C93110">
              <w:rPr>
                <w:lang w:val="ro-RO"/>
              </w:rPr>
              <w:t xml:space="preserve">La data intrării în vigoare a prezentei decizii, se abrogă de drept </w:t>
            </w:r>
            <w:r w:rsidR="00A35AD2">
              <w:rPr>
                <w:lang w:val="ro-RO"/>
              </w:rPr>
              <w:t xml:space="preserve">Anexele nr. 1, nr. 2, nr. 3, nr. 4 din </w:t>
            </w:r>
            <w:r w:rsidRPr="00C93110">
              <w:rPr>
                <w:lang w:val="ro-RO"/>
              </w:rPr>
              <w:t>Decizia Consiliului</w:t>
            </w:r>
            <w:r>
              <w:rPr>
                <w:lang w:val="ro-RO"/>
              </w:rPr>
              <w:t xml:space="preserve"> raional nr. </w:t>
            </w:r>
            <w:r w:rsidR="006C3750">
              <w:rPr>
                <w:lang w:val="ro-RO"/>
              </w:rPr>
              <w:t>7/22</w:t>
            </w:r>
            <w:r w:rsidRPr="00C93110">
              <w:rPr>
                <w:lang w:val="ro-RO"/>
              </w:rPr>
              <w:t xml:space="preserve"> din </w:t>
            </w:r>
            <w:r w:rsidR="006C3750">
              <w:rPr>
                <w:lang w:val="ro-RO"/>
              </w:rPr>
              <w:t>22.12.2003</w:t>
            </w:r>
            <w:r w:rsidR="00A35AD2">
              <w:rPr>
                <w:lang w:val="ro-RO"/>
              </w:rPr>
              <w:t>.</w:t>
            </w:r>
          </w:p>
          <w:p w14:paraId="0A85A733" w14:textId="40AB7852" w:rsidR="008C636F" w:rsidRPr="00C93110" w:rsidRDefault="00096DA8" w:rsidP="00A35AD2">
            <w:pPr>
              <w:pStyle w:val="af2"/>
              <w:numPr>
                <w:ilvl w:val="0"/>
                <w:numId w:val="2"/>
              </w:numPr>
              <w:tabs>
                <w:tab w:val="left" w:pos="768"/>
                <w:tab w:val="left" w:pos="885"/>
              </w:tabs>
              <w:spacing w:line="276" w:lineRule="auto"/>
              <w:ind w:left="34" w:firstLine="568"/>
              <w:jc w:val="both"/>
              <w:rPr>
                <w:lang w:val="ro-RO"/>
              </w:rPr>
            </w:pPr>
            <w:r w:rsidRPr="00C93110">
              <w:rPr>
                <w:lang w:val="ro-RO"/>
              </w:rPr>
              <w:t>Controlul monitorizării deciziei în cauză se pune în sarcina Comisiei consultative pentru    învățământ, cultură, sport, tineret, ocrotirea sănătății, probleme sociale, turism și culte (dna  Alina Tabarcea).</w:t>
            </w:r>
          </w:p>
          <w:p w14:paraId="446C1523" w14:textId="02442027" w:rsidR="008C636F" w:rsidRPr="00286EE5" w:rsidRDefault="00096DA8" w:rsidP="00A35AD2">
            <w:pPr>
              <w:pStyle w:val="af2"/>
              <w:numPr>
                <w:ilvl w:val="0"/>
                <w:numId w:val="2"/>
              </w:numPr>
              <w:tabs>
                <w:tab w:val="left" w:pos="768"/>
                <w:tab w:val="left" w:pos="885"/>
              </w:tabs>
              <w:spacing w:line="276" w:lineRule="auto"/>
              <w:ind w:left="34" w:firstLine="568"/>
              <w:jc w:val="both"/>
              <w:rPr>
                <w:bCs/>
                <w:kern w:val="16"/>
                <w:lang w:val="ro-RO"/>
              </w:rPr>
            </w:pPr>
            <w:r w:rsidRPr="00286EE5">
              <w:rPr>
                <w:lang w:val="ro-RO"/>
              </w:rPr>
              <w:t xml:space="preserve">Prezenta decizie poate fi contestată </w:t>
            </w:r>
            <w:r w:rsidR="00C726D8">
              <w:rPr>
                <w:lang w:val="ro-RO"/>
              </w:rPr>
              <w:t>la</w:t>
            </w:r>
            <w:r w:rsidRPr="00286EE5">
              <w:rPr>
                <w:lang w:val="ro-RO"/>
              </w:rPr>
              <w:t xml:space="preserve"> Judecători</w:t>
            </w:r>
            <w:r w:rsidR="00A35AD2">
              <w:rPr>
                <w:lang w:val="ro-RO"/>
              </w:rPr>
              <w:t>a</w:t>
            </w:r>
            <w:r w:rsidRPr="00286EE5">
              <w:rPr>
                <w:lang w:val="ro-RO"/>
              </w:rPr>
              <w:t xml:space="preserve"> Bălți (cu sediul mun. Bălți, str. Hotinului, nr. 43), în termen de 30 de zile de la data publicării, potrivit prevederilor Codului Administrativ al RM nr.</w:t>
            </w:r>
            <w:r w:rsidR="00A35AD2">
              <w:rPr>
                <w:lang w:val="ro-RO"/>
              </w:rPr>
              <w:t xml:space="preserve"> </w:t>
            </w:r>
            <w:r w:rsidRPr="00286EE5">
              <w:rPr>
                <w:lang w:val="ro-RO"/>
              </w:rPr>
              <w:t>116/2018.</w:t>
            </w:r>
          </w:p>
          <w:p w14:paraId="0173AFBE" w14:textId="77777777" w:rsidR="008C636F" w:rsidRDefault="00096DA8">
            <w:pPr>
              <w:jc w:val="center"/>
              <w:rPr>
                <w:rFonts w:eastAsiaTheme="minorEastAsia"/>
                <w:b/>
                <w:lang w:val="en-US" w:eastAsia="en-US"/>
              </w:rPr>
            </w:pPr>
            <w:r>
              <w:rPr>
                <w:rFonts w:eastAsiaTheme="minorEastAsia"/>
                <w:b/>
                <w:lang w:val="en-US" w:eastAsia="en-US"/>
              </w:rPr>
              <w:t>PREȘEDINTE</w:t>
            </w:r>
          </w:p>
          <w:p w14:paraId="4E29BF33" w14:textId="77777777" w:rsidR="008C636F" w:rsidRDefault="00096DA8">
            <w:pPr>
              <w:jc w:val="center"/>
              <w:rPr>
                <w:rFonts w:eastAsiaTheme="minorEastAsia"/>
                <w:b/>
                <w:lang w:val="en-US" w:eastAsia="en-US"/>
              </w:rPr>
            </w:pPr>
            <w:r>
              <w:rPr>
                <w:rFonts w:eastAsiaTheme="minorEastAsia"/>
                <w:b/>
                <w:lang w:val="en-US" w:eastAsia="en-US"/>
              </w:rPr>
              <w:t>Cristian CAINARIAN</w:t>
            </w:r>
          </w:p>
          <w:p w14:paraId="3298E3B1" w14:textId="77777777" w:rsidR="008C636F" w:rsidRDefault="00096DA8">
            <w:pPr>
              <w:jc w:val="center"/>
              <w:rPr>
                <w:rFonts w:eastAsiaTheme="minorEastAsia"/>
                <w:b/>
                <w:lang w:val="en-US" w:eastAsia="en-US"/>
              </w:rPr>
            </w:pPr>
            <w:r>
              <w:rPr>
                <w:rFonts w:eastAsiaTheme="minorEastAsia"/>
                <w:b/>
                <w:lang w:val="en-US" w:eastAsia="en-US"/>
              </w:rPr>
              <w:t>________________________</w:t>
            </w:r>
          </w:p>
          <w:p w14:paraId="2E63CC47" w14:textId="77777777" w:rsidR="008C636F" w:rsidRDefault="008C636F">
            <w:pPr>
              <w:jc w:val="center"/>
              <w:rPr>
                <w:lang w:val="en-US"/>
              </w:rPr>
            </w:pPr>
          </w:p>
          <w:tbl>
            <w:tblPr>
              <w:tblStyle w:val="af1"/>
              <w:tblW w:w="9923" w:type="dxa"/>
              <w:tblLayout w:type="fixed"/>
              <w:tblLook w:val="04A0" w:firstRow="1" w:lastRow="0" w:firstColumn="1" w:lastColumn="0" w:noHBand="0" w:noVBand="1"/>
            </w:tblPr>
            <w:tblGrid>
              <w:gridCol w:w="4962"/>
              <w:gridCol w:w="4961"/>
            </w:tblGrid>
            <w:tr w:rsidR="008C636F" w:rsidRPr="00890019" w14:paraId="34F7088D" w14:textId="77777777">
              <w:trPr>
                <w:trHeight w:val="1410"/>
              </w:trPr>
              <w:tc>
                <w:tcPr>
                  <w:tcW w:w="4962" w:type="dxa"/>
                </w:tcPr>
                <w:p w14:paraId="45A08481" w14:textId="77777777" w:rsidR="008C636F" w:rsidRDefault="00096DA8">
                  <w:pPr>
                    <w:ind w:left="-284"/>
                    <w:jc w:val="center"/>
                    <w:rPr>
                      <w:b/>
                      <w:lang w:val="fr-CA"/>
                    </w:rPr>
                  </w:pPr>
                  <w:r>
                    <w:rPr>
                      <w:b/>
                      <w:lang w:val="fr-CA"/>
                    </w:rPr>
                    <w:t>CONTRASEMNEAZĂ</w:t>
                  </w:r>
                </w:p>
                <w:p w14:paraId="3A0811FE" w14:textId="77777777" w:rsidR="008C636F" w:rsidRDefault="00096DA8">
                  <w:pPr>
                    <w:ind w:left="-284"/>
                    <w:jc w:val="center"/>
                    <w:rPr>
                      <w:b/>
                      <w:lang w:val="fr-CA"/>
                    </w:rPr>
                  </w:pPr>
                  <w:r>
                    <w:rPr>
                      <w:b/>
                      <w:lang w:val="fr-CA"/>
                    </w:rPr>
                    <w:t>Secretara interimară a Consiliului raional</w:t>
                  </w:r>
                </w:p>
                <w:p w14:paraId="62A721E6" w14:textId="77777777" w:rsidR="008C636F" w:rsidRDefault="00096DA8">
                  <w:pPr>
                    <w:ind w:left="-284"/>
                    <w:jc w:val="center"/>
                    <w:rPr>
                      <w:lang w:val="fr-CA"/>
                    </w:rPr>
                  </w:pPr>
                  <w:r>
                    <w:rPr>
                      <w:lang w:val="fr-CA"/>
                    </w:rPr>
                    <w:t>Angela Mihaliuc</w:t>
                  </w:r>
                </w:p>
                <w:p w14:paraId="40CC7296" w14:textId="77777777" w:rsidR="008C636F" w:rsidRDefault="00096DA8">
                  <w:pPr>
                    <w:ind w:left="-284"/>
                    <w:jc w:val="center"/>
                    <w:rPr>
                      <w:lang w:val="en-US"/>
                    </w:rPr>
                  </w:pPr>
                  <w:r>
                    <w:rPr>
                      <w:lang w:val="en-US"/>
                    </w:rPr>
                    <w:t>______________________</w:t>
                  </w:r>
                </w:p>
                <w:p w14:paraId="7E54ABE5" w14:textId="77777777" w:rsidR="008C636F" w:rsidRDefault="008C636F">
                  <w:pPr>
                    <w:ind w:left="-284"/>
                    <w:jc w:val="center"/>
                  </w:pPr>
                </w:p>
              </w:tc>
              <w:tc>
                <w:tcPr>
                  <w:tcW w:w="4961" w:type="dxa"/>
                </w:tcPr>
                <w:p w14:paraId="1153745E" w14:textId="77777777" w:rsidR="008C636F" w:rsidRDefault="00096DA8">
                  <w:pPr>
                    <w:ind w:left="-284"/>
                    <w:jc w:val="center"/>
                    <w:rPr>
                      <w:b/>
                      <w:lang w:val="fr-CA"/>
                    </w:rPr>
                  </w:pPr>
                  <w:r>
                    <w:rPr>
                      <w:b/>
                      <w:lang w:val="fr-CA"/>
                    </w:rPr>
                    <w:t xml:space="preserve">SUSŢIN </w:t>
                  </w:r>
                </w:p>
                <w:p w14:paraId="49A3FD82" w14:textId="77777777" w:rsidR="008C636F" w:rsidRDefault="00096DA8">
                  <w:pPr>
                    <w:ind w:left="-284"/>
                    <w:jc w:val="center"/>
                    <w:rPr>
                      <w:lang w:val="fr-CA"/>
                    </w:rPr>
                  </w:pPr>
                  <w:r>
                    <w:rPr>
                      <w:b/>
                      <w:lang w:val="fr-CA"/>
                    </w:rPr>
                    <w:t>Vicepreședinta raionului</w:t>
                  </w:r>
                </w:p>
                <w:p w14:paraId="33414961" w14:textId="77777777" w:rsidR="008C636F" w:rsidRDefault="00096DA8">
                  <w:pPr>
                    <w:ind w:left="-284"/>
                    <w:jc w:val="center"/>
                    <w:rPr>
                      <w:lang w:val="fr-CA"/>
                    </w:rPr>
                  </w:pPr>
                  <w:r>
                    <w:rPr>
                      <w:lang w:val="fr-CA"/>
                    </w:rPr>
                    <w:t>Vera SERBUȘCA</w:t>
                  </w:r>
                </w:p>
                <w:p w14:paraId="6AA8F051" w14:textId="77777777" w:rsidR="008C636F" w:rsidRDefault="00096DA8">
                  <w:pPr>
                    <w:ind w:left="-284"/>
                    <w:jc w:val="center"/>
                    <w:rPr>
                      <w:lang w:val="fr-CA"/>
                    </w:rPr>
                  </w:pPr>
                  <w:r>
                    <w:rPr>
                      <w:lang w:val="fr-CA"/>
                    </w:rPr>
                    <w:t>___________________</w:t>
                  </w:r>
                </w:p>
                <w:p w14:paraId="6E184AB6" w14:textId="77777777" w:rsidR="008C636F" w:rsidRDefault="008C636F">
                  <w:pPr>
                    <w:ind w:left="-284"/>
                    <w:jc w:val="center"/>
                    <w:rPr>
                      <w:b/>
                      <w:bCs/>
                    </w:rPr>
                  </w:pPr>
                </w:p>
              </w:tc>
            </w:tr>
            <w:tr w:rsidR="008C636F" w14:paraId="77006217" w14:textId="77777777">
              <w:trPr>
                <w:trHeight w:val="1118"/>
              </w:trPr>
              <w:tc>
                <w:tcPr>
                  <w:tcW w:w="4962" w:type="dxa"/>
                </w:tcPr>
                <w:p w14:paraId="040FDA60" w14:textId="77777777" w:rsidR="008C636F" w:rsidRDefault="00096DA8">
                  <w:pPr>
                    <w:jc w:val="center"/>
                    <w:rPr>
                      <w:b/>
                      <w:lang w:val="pt-BR"/>
                    </w:rPr>
                  </w:pPr>
                  <w:r>
                    <w:rPr>
                      <w:b/>
                      <w:lang w:val="pt-BR"/>
                    </w:rPr>
                    <w:t>ÎNTOCMIT</w:t>
                  </w:r>
                </w:p>
                <w:p w14:paraId="6F393D7C" w14:textId="77777777" w:rsidR="008C636F" w:rsidRDefault="00096DA8">
                  <w:pPr>
                    <w:jc w:val="center"/>
                    <w:rPr>
                      <w:b/>
                    </w:rPr>
                  </w:pPr>
                  <w:r>
                    <w:rPr>
                      <w:b/>
                    </w:rPr>
                    <w:t>Șef Șecție Cultură</w:t>
                  </w:r>
                </w:p>
                <w:p w14:paraId="01F8A920" w14:textId="77777777" w:rsidR="008C636F" w:rsidRDefault="00096DA8">
                  <w:pPr>
                    <w:ind w:left="-284"/>
                    <w:jc w:val="center"/>
                    <w:rPr>
                      <w:b/>
                      <w:bCs/>
                    </w:rPr>
                  </w:pPr>
                  <w:r>
                    <w:rPr>
                      <w:b/>
                      <w:bCs/>
                    </w:rPr>
                    <w:t xml:space="preserve">     </w:t>
                  </w:r>
                  <w:r>
                    <w:t>Cobîlaș Dionisie</w:t>
                  </w:r>
                </w:p>
                <w:p w14:paraId="3B7CD378" w14:textId="77777777" w:rsidR="008C636F" w:rsidRDefault="00096DA8">
                  <w:pPr>
                    <w:ind w:left="-284"/>
                    <w:jc w:val="center"/>
                    <w:rPr>
                      <w:b/>
                      <w:bCs/>
                    </w:rPr>
                  </w:pPr>
                  <w:r>
                    <w:t>_________________________</w:t>
                  </w:r>
                </w:p>
              </w:tc>
              <w:tc>
                <w:tcPr>
                  <w:tcW w:w="4961" w:type="dxa"/>
                </w:tcPr>
                <w:p w14:paraId="3EC967D5" w14:textId="77777777" w:rsidR="008C636F" w:rsidRDefault="00096DA8">
                  <w:pPr>
                    <w:ind w:left="-284"/>
                    <w:jc w:val="center"/>
                    <w:rPr>
                      <w:b/>
                    </w:rPr>
                  </w:pPr>
                  <w:r>
                    <w:rPr>
                      <w:b/>
                    </w:rPr>
                    <w:t>COORDONAT</w:t>
                  </w:r>
                </w:p>
                <w:p w14:paraId="4FA11A90" w14:textId="77777777" w:rsidR="008C636F" w:rsidRDefault="00096DA8">
                  <w:pPr>
                    <w:ind w:left="-284"/>
                    <w:jc w:val="center"/>
                    <w:rPr>
                      <w:b/>
                    </w:rPr>
                  </w:pPr>
                  <w:r>
                    <w:rPr>
                      <w:b/>
                    </w:rPr>
                    <w:t>Șefă, Secția Juridică și Resurse Umane</w:t>
                  </w:r>
                </w:p>
                <w:p w14:paraId="7284EB63" w14:textId="77777777" w:rsidR="008C636F" w:rsidRDefault="00096DA8">
                  <w:pPr>
                    <w:ind w:left="-284"/>
                    <w:jc w:val="center"/>
                  </w:pPr>
                  <w:r>
                    <w:t>Oxana TABARCEA</w:t>
                  </w:r>
                </w:p>
                <w:p w14:paraId="70473670" w14:textId="77777777" w:rsidR="008C636F" w:rsidRDefault="00096DA8">
                  <w:pPr>
                    <w:ind w:left="-284"/>
                    <w:jc w:val="center"/>
                    <w:rPr>
                      <w:b/>
                      <w:bCs/>
                    </w:rPr>
                  </w:pPr>
                  <w:r>
                    <w:rPr>
                      <w:lang w:val="fr-CA"/>
                    </w:rPr>
                    <w:t>_________________________</w:t>
                  </w:r>
                </w:p>
              </w:tc>
            </w:tr>
          </w:tbl>
          <w:p w14:paraId="64C012DA" w14:textId="77777777" w:rsidR="008C636F" w:rsidRDefault="008C636F">
            <w:pPr>
              <w:rPr>
                <w:b/>
                <w:bCs/>
                <w:lang w:val="ro-RO"/>
              </w:rPr>
            </w:pPr>
          </w:p>
        </w:tc>
        <w:tc>
          <w:tcPr>
            <w:tcW w:w="347" w:type="pct"/>
            <w:tcBorders>
              <w:top w:val="nil"/>
              <w:left w:val="nil"/>
              <w:bottom w:val="nil"/>
              <w:right w:val="nil"/>
            </w:tcBorders>
          </w:tcPr>
          <w:p w14:paraId="37A010D5" w14:textId="77777777" w:rsidR="008C636F" w:rsidRDefault="008C636F">
            <w:pPr>
              <w:jc w:val="center"/>
              <w:rPr>
                <w:lang w:val="ro-RO"/>
              </w:rPr>
            </w:pPr>
          </w:p>
          <w:p w14:paraId="12B29AD7" w14:textId="77777777" w:rsidR="008C636F" w:rsidRDefault="008C636F">
            <w:pPr>
              <w:jc w:val="center"/>
              <w:rPr>
                <w:lang w:val="ro-RO"/>
              </w:rPr>
            </w:pPr>
          </w:p>
          <w:p w14:paraId="68EAED50" w14:textId="77777777" w:rsidR="008C636F" w:rsidRDefault="008C636F">
            <w:pPr>
              <w:jc w:val="center"/>
              <w:rPr>
                <w:lang w:val="ro-RO"/>
              </w:rPr>
            </w:pPr>
          </w:p>
        </w:tc>
      </w:tr>
    </w:tbl>
    <w:p w14:paraId="4CC164E7" w14:textId="77777777" w:rsidR="008C636F" w:rsidRDefault="008C636F">
      <w:pPr>
        <w:tabs>
          <w:tab w:val="left" w:pos="2665"/>
        </w:tabs>
        <w:rPr>
          <w:sz w:val="16"/>
          <w:szCs w:val="16"/>
          <w:lang w:val="en-US"/>
        </w:rPr>
      </w:pPr>
    </w:p>
    <w:sectPr w:rsidR="008C636F">
      <w:pgSz w:w="11906" w:h="16838"/>
      <w:pgMar w:top="510" w:right="851" w:bottom="51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10694" w14:textId="77777777" w:rsidR="00C23525" w:rsidRDefault="00C23525">
      <w:r>
        <w:separator/>
      </w:r>
    </w:p>
  </w:endnote>
  <w:endnote w:type="continuationSeparator" w:id="0">
    <w:p w14:paraId="6A2813F6" w14:textId="77777777" w:rsidR="00C23525" w:rsidRDefault="00C2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0178D" w14:textId="77777777" w:rsidR="00C23525" w:rsidRDefault="00C23525">
      <w:r>
        <w:separator/>
      </w:r>
    </w:p>
  </w:footnote>
  <w:footnote w:type="continuationSeparator" w:id="0">
    <w:p w14:paraId="596645B9" w14:textId="77777777" w:rsidR="00C23525" w:rsidRDefault="00C23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6C53"/>
    <w:multiLevelType w:val="multilevel"/>
    <w:tmpl w:val="88ACD57E"/>
    <w:lvl w:ilvl="0">
      <w:start w:val="1"/>
      <w:numFmt w:val="decimal"/>
      <w:lvlText w:val="%1."/>
      <w:lvlJc w:val="left"/>
      <w:pPr>
        <w:ind w:left="720" w:hanging="360"/>
      </w:pPr>
      <w:rPr>
        <w:lang w:val="it-I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3B5ACF"/>
    <w:multiLevelType w:val="multilevel"/>
    <w:tmpl w:val="683B5ACF"/>
    <w:lvl w:ilvl="0">
      <w:start w:val="1"/>
      <w:numFmt w:val="decimal"/>
      <w:lvlText w:val="(%1)"/>
      <w:lvlJc w:val="left"/>
      <w:pPr>
        <w:tabs>
          <w:tab w:val="left" w:pos="780"/>
        </w:tabs>
        <w:ind w:left="780" w:hanging="42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360"/>
        </w:tabs>
        <w:ind w:left="36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23"/>
    <w:rsid w:val="00003190"/>
    <w:rsid w:val="00003693"/>
    <w:rsid w:val="00011D6D"/>
    <w:rsid w:val="00037DAF"/>
    <w:rsid w:val="000402E8"/>
    <w:rsid w:val="000548DB"/>
    <w:rsid w:val="000576D7"/>
    <w:rsid w:val="00061CD9"/>
    <w:rsid w:val="00066413"/>
    <w:rsid w:val="000714F8"/>
    <w:rsid w:val="00073D37"/>
    <w:rsid w:val="0007485F"/>
    <w:rsid w:val="00077258"/>
    <w:rsid w:val="000824C4"/>
    <w:rsid w:val="00096DA8"/>
    <w:rsid w:val="000B1B29"/>
    <w:rsid w:val="000D03D7"/>
    <w:rsid w:val="000D6D4E"/>
    <w:rsid w:val="000E392B"/>
    <w:rsid w:val="00110FBC"/>
    <w:rsid w:val="00111F6E"/>
    <w:rsid w:val="00120582"/>
    <w:rsid w:val="0012708C"/>
    <w:rsid w:val="001303F0"/>
    <w:rsid w:val="0013065C"/>
    <w:rsid w:val="00140E28"/>
    <w:rsid w:val="001413D4"/>
    <w:rsid w:val="001506AD"/>
    <w:rsid w:val="00153813"/>
    <w:rsid w:val="001569BA"/>
    <w:rsid w:val="00163E24"/>
    <w:rsid w:val="00164D99"/>
    <w:rsid w:val="00166145"/>
    <w:rsid w:val="0016679B"/>
    <w:rsid w:val="001714C8"/>
    <w:rsid w:val="00175D4E"/>
    <w:rsid w:val="00183D43"/>
    <w:rsid w:val="00190DB4"/>
    <w:rsid w:val="0019364C"/>
    <w:rsid w:val="001957D0"/>
    <w:rsid w:val="001A4209"/>
    <w:rsid w:val="001A5CCB"/>
    <w:rsid w:val="001A5EDA"/>
    <w:rsid w:val="001D6A27"/>
    <w:rsid w:val="00205952"/>
    <w:rsid w:val="00211387"/>
    <w:rsid w:val="0021634C"/>
    <w:rsid w:val="002229B0"/>
    <w:rsid w:val="00231167"/>
    <w:rsid w:val="0023363B"/>
    <w:rsid w:val="00234C01"/>
    <w:rsid w:val="0023627B"/>
    <w:rsid w:val="00245974"/>
    <w:rsid w:val="00246066"/>
    <w:rsid w:val="002531F8"/>
    <w:rsid w:val="00272740"/>
    <w:rsid w:val="002742AF"/>
    <w:rsid w:val="00274EDD"/>
    <w:rsid w:val="00281B4F"/>
    <w:rsid w:val="002841B0"/>
    <w:rsid w:val="00286EE5"/>
    <w:rsid w:val="002870DE"/>
    <w:rsid w:val="00291893"/>
    <w:rsid w:val="002A121D"/>
    <w:rsid w:val="002A74EA"/>
    <w:rsid w:val="002A7C01"/>
    <w:rsid w:val="002B1E09"/>
    <w:rsid w:val="002B2A14"/>
    <w:rsid w:val="002B7E18"/>
    <w:rsid w:val="002C5E53"/>
    <w:rsid w:val="002D6DF6"/>
    <w:rsid w:val="002E2EB0"/>
    <w:rsid w:val="002F01B4"/>
    <w:rsid w:val="002F2C78"/>
    <w:rsid w:val="00305AA6"/>
    <w:rsid w:val="00306BCE"/>
    <w:rsid w:val="00307620"/>
    <w:rsid w:val="00307D6E"/>
    <w:rsid w:val="0031055A"/>
    <w:rsid w:val="0031207D"/>
    <w:rsid w:val="0032731A"/>
    <w:rsid w:val="003307FF"/>
    <w:rsid w:val="00331873"/>
    <w:rsid w:val="00332D98"/>
    <w:rsid w:val="0034602B"/>
    <w:rsid w:val="003607D7"/>
    <w:rsid w:val="00363845"/>
    <w:rsid w:val="00370AD1"/>
    <w:rsid w:val="003730D8"/>
    <w:rsid w:val="003733D8"/>
    <w:rsid w:val="00374131"/>
    <w:rsid w:val="003779D4"/>
    <w:rsid w:val="00386248"/>
    <w:rsid w:val="0038713E"/>
    <w:rsid w:val="00393E64"/>
    <w:rsid w:val="003A1695"/>
    <w:rsid w:val="003A1ED3"/>
    <w:rsid w:val="003B3A6A"/>
    <w:rsid w:val="003C4D6A"/>
    <w:rsid w:val="003D1106"/>
    <w:rsid w:val="003D4DF7"/>
    <w:rsid w:val="003F2079"/>
    <w:rsid w:val="003F24F5"/>
    <w:rsid w:val="0040187F"/>
    <w:rsid w:val="00413C88"/>
    <w:rsid w:val="004221AA"/>
    <w:rsid w:val="00423B71"/>
    <w:rsid w:val="00436023"/>
    <w:rsid w:val="00436603"/>
    <w:rsid w:val="00442C80"/>
    <w:rsid w:val="004501FD"/>
    <w:rsid w:val="00450FC9"/>
    <w:rsid w:val="00453D8F"/>
    <w:rsid w:val="00467449"/>
    <w:rsid w:val="00471281"/>
    <w:rsid w:val="00475CD2"/>
    <w:rsid w:val="0047730E"/>
    <w:rsid w:val="00480977"/>
    <w:rsid w:val="00481466"/>
    <w:rsid w:val="00483CA4"/>
    <w:rsid w:val="00487619"/>
    <w:rsid w:val="00494A8C"/>
    <w:rsid w:val="004B0FEA"/>
    <w:rsid w:val="004B1BE0"/>
    <w:rsid w:val="004C0226"/>
    <w:rsid w:val="004C2DCC"/>
    <w:rsid w:val="004C4007"/>
    <w:rsid w:val="004D12CD"/>
    <w:rsid w:val="004D26E0"/>
    <w:rsid w:val="004E32BF"/>
    <w:rsid w:val="004F02AF"/>
    <w:rsid w:val="004F244C"/>
    <w:rsid w:val="0050100D"/>
    <w:rsid w:val="00505DC3"/>
    <w:rsid w:val="00507D56"/>
    <w:rsid w:val="00512F9A"/>
    <w:rsid w:val="00514AB0"/>
    <w:rsid w:val="00533887"/>
    <w:rsid w:val="00534EC5"/>
    <w:rsid w:val="00542F9F"/>
    <w:rsid w:val="00546899"/>
    <w:rsid w:val="00550F3A"/>
    <w:rsid w:val="005510F7"/>
    <w:rsid w:val="00560174"/>
    <w:rsid w:val="0056142B"/>
    <w:rsid w:val="005635F9"/>
    <w:rsid w:val="00563C27"/>
    <w:rsid w:val="00564475"/>
    <w:rsid w:val="0058130F"/>
    <w:rsid w:val="00582A64"/>
    <w:rsid w:val="00584628"/>
    <w:rsid w:val="005A5835"/>
    <w:rsid w:val="005B0DA3"/>
    <w:rsid w:val="005B5FAA"/>
    <w:rsid w:val="005B6D24"/>
    <w:rsid w:val="005C7878"/>
    <w:rsid w:val="005D3760"/>
    <w:rsid w:val="005D7212"/>
    <w:rsid w:val="005E08FF"/>
    <w:rsid w:val="005E1EE9"/>
    <w:rsid w:val="005F4E5C"/>
    <w:rsid w:val="00601162"/>
    <w:rsid w:val="006048D1"/>
    <w:rsid w:val="00613E55"/>
    <w:rsid w:val="00630B11"/>
    <w:rsid w:val="0063451B"/>
    <w:rsid w:val="00635A4A"/>
    <w:rsid w:val="006459F4"/>
    <w:rsid w:val="00647377"/>
    <w:rsid w:val="0066236F"/>
    <w:rsid w:val="0066701A"/>
    <w:rsid w:val="00670C84"/>
    <w:rsid w:val="006759D1"/>
    <w:rsid w:val="00677CE0"/>
    <w:rsid w:val="0068037A"/>
    <w:rsid w:val="00691732"/>
    <w:rsid w:val="00692D45"/>
    <w:rsid w:val="00694076"/>
    <w:rsid w:val="00695925"/>
    <w:rsid w:val="006A422D"/>
    <w:rsid w:val="006A63BF"/>
    <w:rsid w:val="006B493F"/>
    <w:rsid w:val="006C3750"/>
    <w:rsid w:val="006C451B"/>
    <w:rsid w:val="006C6E05"/>
    <w:rsid w:val="006E0DB4"/>
    <w:rsid w:val="006E1852"/>
    <w:rsid w:val="006E40B1"/>
    <w:rsid w:val="006F1BD5"/>
    <w:rsid w:val="00702283"/>
    <w:rsid w:val="00710BB6"/>
    <w:rsid w:val="007211B4"/>
    <w:rsid w:val="00721BD1"/>
    <w:rsid w:val="00722A7C"/>
    <w:rsid w:val="007304AD"/>
    <w:rsid w:val="00731DC7"/>
    <w:rsid w:val="00743A72"/>
    <w:rsid w:val="00750A5B"/>
    <w:rsid w:val="00751AB3"/>
    <w:rsid w:val="007748B9"/>
    <w:rsid w:val="0077694B"/>
    <w:rsid w:val="00780B1A"/>
    <w:rsid w:val="0079066C"/>
    <w:rsid w:val="00796F0F"/>
    <w:rsid w:val="007A6A1F"/>
    <w:rsid w:val="007B4088"/>
    <w:rsid w:val="007B5BD7"/>
    <w:rsid w:val="007B5ED7"/>
    <w:rsid w:val="007C3860"/>
    <w:rsid w:val="007D07B5"/>
    <w:rsid w:val="007F1E53"/>
    <w:rsid w:val="007F355C"/>
    <w:rsid w:val="00804E37"/>
    <w:rsid w:val="00813884"/>
    <w:rsid w:val="00814FBD"/>
    <w:rsid w:val="008212DF"/>
    <w:rsid w:val="00822B44"/>
    <w:rsid w:val="00830973"/>
    <w:rsid w:val="008356D6"/>
    <w:rsid w:val="0084097A"/>
    <w:rsid w:val="0086572C"/>
    <w:rsid w:val="00867388"/>
    <w:rsid w:val="00877634"/>
    <w:rsid w:val="00881E1D"/>
    <w:rsid w:val="0088429E"/>
    <w:rsid w:val="00885676"/>
    <w:rsid w:val="00890019"/>
    <w:rsid w:val="008943F3"/>
    <w:rsid w:val="008949E0"/>
    <w:rsid w:val="00897C75"/>
    <w:rsid w:val="008A19FA"/>
    <w:rsid w:val="008B3EBB"/>
    <w:rsid w:val="008B5292"/>
    <w:rsid w:val="008B590D"/>
    <w:rsid w:val="008C0FF6"/>
    <w:rsid w:val="008C636F"/>
    <w:rsid w:val="008D0177"/>
    <w:rsid w:val="008D2F21"/>
    <w:rsid w:val="008D4A58"/>
    <w:rsid w:val="008E0CA0"/>
    <w:rsid w:val="008E54FA"/>
    <w:rsid w:val="008E59B5"/>
    <w:rsid w:val="009020A0"/>
    <w:rsid w:val="009039DD"/>
    <w:rsid w:val="00904802"/>
    <w:rsid w:val="00904E2F"/>
    <w:rsid w:val="00907A18"/>
    <w:rsid w:val="009128A0"/>
    <w:rsid w:val="00912A56"/>
    <w:rsid w:val="009138A9"/>
    <w:rsid w:val="009214D3"/>
    <w:rsid w:val="00924E0D"/>
    <w:rsid w:val="00927C97"/>
    <w:rsid w:val="00932CCD"/>
    <w:rsid w:val="00933FE2"/>
    <w:rsid w:val="009429B0"/>
    <w:rsid w:val="00947D17"/>
    <w:rsid w:val="00951F57"/>
    <w:rsid w:val="00955A34"/>
    <w:rsid w:val="00981B61"/>
    <w:rsid w:val="00981D3B"/>
    <w:rsid w:val="009844D4"/>
    <w:rsid w:val="00985585"/>
    <w:rsid w:val="00986A05"/>
    <w:rsid w:val="009B123C"/>
    <w:rsid w:val="009B4E8D"/>
    <w:rsid w:val="009B6773"/>
    <w:rsid w:val="009B7B7C"/>
    <w:rsid w:val="009C2C92"/>
    <w:rsid w:val="009D413F"/>
    <w:rsid w:val="009E6211"/>
    <w:rsid w:val="009F1443"/>
    <w:rsid w:val="009F2436"/>
    <w:rsid w:val="009F5052"/>
    <w:rsid w:val="009F7987"/>
    <w:rsid w:val="00A251A7"/>
    <w:rsid w:val="00A27BDB"/>
    <w:rsid w:val="00A35AD2"/>
    <w:rsid w:val="00A443A1"/>
    <w:rsid w:val="00A458E5"/>
    <w:rsid w:val="00A46A05"/>
    <w:rsid w:val="00A470FF"/>
    <w:rsid w:val="00A5069D"/>
    <w:rsid w:val="00A5602E"/>
    <w:rsid w:val="00A61B30"/>
    <w:rsid w:val="00A65AD2"/>
    <w:rsid w:val="00A710CE"/>
    <w:rsid w:val="00A77897"/>
    <w:rsid w:val="00A82A8C"/>
    <w:rsid w:val="00A94771"/>
    <w:rsid w:val="00AA06F4"/>
    <w:rsid w:val="00AA095D"/>
    <w:rsid w:val="00AC6386"/>
    <w:rsid w:val="00AC6AEE"/>
    <w:rsid w:val="00AE5C77"/>
    <w:rsid w:val="00AF0181"/>
    <w:rsid w:val="00AF6572"/>
    <w:rsid w:val="00B14718"/>
    <w:rsid w:val="00B222C5"/>
    <w:rsid w:val="00B31C23"/>
    <w:rsid w:val="00B369AB"/>
    <w:rsid w:val="00B412D9"/>
    <w:rsid w:val="00B445F8"/>
    <w:rsid w:val="00B47B1D"/>
    <w:rsid w:val="00B51B16"/>
    <w:rsid w:val="00B5537F"/>
    <w:rsid w:val="00B5631A"/>
    <w:rsid w:val="00B72F8F"/>
    <w:rsid w:val="00B73B79"/>
    <w:rsid w:val="00B8532E"/>
    <w:rsid w:val="00B92824"/>
    <w:rsid w:val="00B958E8"/>
    <w:rsid w:val="00BB1B96"/>
    <w:rsid w:val="00BB787C"/>
    <w:rsid w:val="00BC2DD7"/>
    <w:rsid w:val="00BC6A5E"/>
    <w:rsid w:val="00BC6BA3"/>
    <w:rsid w:val="00BD3A8C"/>
    <w:rsid w:val="00BE147F"/>
    <w:rsid w:val="00C011C8"/>
    <w:rsid w:val="00C04B6E"/>
    <w:rsid w:val="00C23525"/>
    <w:rsid w:val="00C30D86"/>
    <w:rsid w:val="00C55F87"/>
    <w:rsid w:val="00C614D6"/>
    <w:rsid w:val="00C726D8"/>
    <w:rsid w:val="00C73F2A"/>
    <w:rsid w:val="00C834A6"/>
    <w:rsid w:val="00C93110"/>
    <w:rsid w:val="00CA7645"/>
    <w:rsid w:val="00CC5CD6"/>
    <w:rsid w:val="00CD4117"/>
    <w:rsid w:val="00CF08B4"/>
    <w:rsid w:val="00CF5CC7"/>
    <w:rsid w:val="00D05A5F"/>
    <w:rsid w:val="00D06D0C"/>
    <w:rsid w:val="00D216D4"/>
    <w:rsid w:val="00D43683"/>
    <w:rsid w:val="00D510F2"/>
    <w:rsid w:val="00D52FF4"/>
    <w:rsid w:val="00D618D6"/>
    <w:rsid w:val="00D63A55"/>
    <w:rsid w:val="00D744BF"/>
    <w:rsid w:val="00D87B18"/>
    <w:rsid w:val="00D87E0D"/>
    <w:rsid w:val="00D93E32"/>
    <w:rsid w:val="00D948C8"/>
    <w:rsid w:val="00DB489D"/>
    <w:rsid w:val="00DC5A6A"/>
    <w:rsid w:val="00DC6280"/>
    <w:rsid w:val="00DD68B0"/>
    <w:rsid w:val="00DE08E9"/>
    <w:rsid w:val="00DE0FC9"/>
    <w:rsid w:val="00DE4277"/>
    <w:rsid w:val="00E04AAD"/>
    <w:rsid w:val="00E10E6D"/>
    <w:rsid w:val="00E12175"/>
    <w:rsid w:val="00E14A24"/>
    <w:rsid w:val="00E20CA2"/>
    <w:rsid w:val="00E33205"/>
    <w:rsid w:val="00E411FD"/>
    <w:rsid w:val="00E42EED"/>
    <w:rsid w:val="00E44B68"/>
    <w:rsid w:val="00E47E6D"/>
    <w:rsid w:val="00E6300E"/>
    <w:rsid w:val="00E7492A"/>
    <w:rsid w:val="00E842C3"/>
    <w:rsid w:val="00E87E09"/>
    <w:rsid w:val="00E91291"/>
    <w:rsid w:val="00E91F0C"/>
    <w:rsid w:val="00E97310"/>
    <w:rsid w:val="00EA0250"/>
    <w:rsid w:val="00EA3A6E"/>
    <w:rsid w:val="00EA637C"/>
    <w:rsid w:val="00EB708E"/>
    <w:rsid w:val="00EC5058"/>
    <w:rsid w:val="00ED16D9"/>
    <w:rsid w:val="00ED61F3"/>
    <w:rsid w:val="00EE10F8"/>
    <w:rsid w:val="00EE1788"/>
    <w:rsid w:val="00F1160A"/>
    <w:rsid w:val="00F131C0"/>
    <w:rsid w:val="00F15896"/>
    <w:rsid w:val="00F207D9"/>
    <w:rsid w:val="00F23953"/>
    <w:rsid w:val="00F2471F"/>
    <w:rsid w:val="00F252D3"/>
    <w:rsid w:val="00F25D09"/>
    <w:rsid w:val="00F269D0"/>
    <w:rsid w:val="00F35351"/>
    <w:rsid w:val="00F4337C"/>
    <w:rsid w:val="00F5126B"/>
    <w:rsid w:val="00F70CCE"/>
    <w:rsid w:val="00F72A03"/>
    <w:rsid w:val="00F77020"/>
    <w:rsid w:val="00F83724"/>
    <w:rsid w:val="00F83B7B"/>
    <w:rsid w:val="00F91504"/>
    <w:rsid w:val="00F97934"/>
    <w:rsid w:val="00FA0171"/>
    <w:rsid w:val="00FA0D50"/>
    <w:rsid w:val="00FB3BB9"/>
    <w:rsid w:val="00FB6254"/>
    <w:rsid w:val="00FB6F49"/>
    <w:rsid w:val="00FD1C5E"/>
    <w:rsid w:val="00FD7B6C"/>
    <w:rsid w:val="00FE632A"/>
    <w:rsid w:val="00FE74B0"/>
    <w:rsid w:val="00FF4306"/>
    <w:rsid w:val="00FF729C"/>
    <w:rsid w:val="29561D04"/>
    <w:rsid w:val="72757A7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174B5F"/>
  <w15:docId w15:val="{93E1AA25-A831-4E6E-A91C-B860042E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qFormat/>
    <w:pPr>
      <w:keepNext/>
      <w:outlineLvl w:val="0"/>
    </w:pPr>
    <w:rPr>
      <w:b/>
      <w:sz w:val="28"/>
      <w:szCs w:val="20"/>
      <w:lang w:val="en-US"/>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Strong"/>
    <w:basedOn w:val="a0"/>
    <w:uiPriority w:val="22"/>
    <w:qFormat/>
    <w:rPr>
      <w:b/>
      <w:bCs/>
    </w:rPr>
  </w:style>
  <w:style w:type="paragraph" w:styleId="a5">
    <w:name w:val="Balloon Text"/>
    <w:basedOn w:val="a"/>
    <w:link w:val="a6"/>
    <w:uiPriority w:val="99"/>
    <w:semiHidden/>
    <w:unhideWhenUsed/>
    <w:rPr>
      <w:rFonts w:ascii="Tahoma" w:hAnsi="Tahoma" w:cs="Tahoma"/>
      <w:sz w:val="16"/>
      <w:szCs w:val="16"/>
    </w:rPr>
  </w:style>
  <w:style w:type="paragraph" w:styleId="a7">
    <w:name w:val="Plain Text"/>
    <w:basedOn w:val="a"/>
    <w:link w:val="a8"/>
    <w:rPr>
      <w:rFonts w:ascii="Courier New" w:hAnsi="Courier New"/>
      <w:sz w:val="20"/>
      <w:szCs w:val="20"/>
    </w:rPr>
  </w:style>
  <w:style w:type="paragraph" w:styleId="a9">
    <w:name w:val="header"/>
    <w:basedOn w:val="a"/>
    <w:link w:val="aa"/>
    <w:uiPriority w:val="99"/>
    <w:unhideWhenUsed/>
    <w:pPr>
      <w:tabs>
        <w:tab w:val="center" w:pos="4536"/>
        <w:tab w:val="right" w:pos="9072"/>
      </w:tabs>
    </w:pPr>
  </w:style>
  <w:style w:type="paragraph" w:styleId="ab">
    <w:name w:val="Body Text"/>
    <w:basedOn w:val="a"/>
    <w:link w:val="ac"/>
    <w:qFormat/>
    <w:pPr>
      <w:spacing w:after="120"/>
    </w:pPr>
    <w:rPr>
      <w:lang w:val="ro-RO"/>
    </w:rPr>
  </w:style>
  <w:style w:type="paragraph" w:styleId="ad">
    <w:name w:val="Title"/>
    <w:basedOn w:val="a"/>
    <w:link w:val="ae"/>
    <w:qFormat/>
    <w:pPr>
      <w:jc w:val="center"/>
    </w:pPr>
    <w:rPr>
      <w:b/>
      <w:szCs w:val="20"/>
      <w:lang w:val="ro-RO"/>
    </w:rPr>
  </w:style>
  <w:style w:type="paragraph" w:styleId="af">
    <w:name w:val="footer"/>
    <w:basedOn w:val="a"/>
    <w:link w:val="af0"/>
    <w:uiPriority w:val="99"/>
    <w:unhideWhenUsed/>
    <w:qFormat/>
    <w:pPr>
      <w:tabs>
        <w:tab w:val="center" w:pos="4536"/>
        <w:tab w:val="right" w:pos="9072"/>
      </w:tabs>
    </w:pPr>
  </w:style>
  <w:style w:type="table" w:styleId="af1">
    <w:name w:val="Table Grid"/>
    <w:basedOn w:val="a1"/>
    <w:uiPriority w:val="39"/>
    <w:rPr>
      <w:rFonts w:ascii="Times New Roman" w:eastAsia="Times New Roman" w:hAnsi="Times New Roman"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Текст Знак"/>
    <w:basedOn w:val="a0"/>
    <w:link w:val="a7"/>
    <w:rPr>
      <w:rFonts w:ascii="Courier New" w:eastAsia="Times New Roman" w:hAnsi="Courier New" w:cs="Times New Roman"/>
      <w:sz w:val="20"/>
      <w:szCs w:val="20"/>
      <w:lang w:eastAsia="ru-RU"/>
    </w:r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 w:type="paragraph" w:styleId="af2">
    <w:name w:val="List Paragraph"/>
    <w:basedOn w:val="a"/>
    <w:uiPriority w:val="1"/>
    <w:qFormat/>
    <w:pPr>
      <w:ind w:left="720"/>
      <w:contextualSpacing/>
    </w:pPr>
  </w:style>
  <w:style w:type="character" w:customStyle="1" w:styleId="apple-converted-space">
    <w:name w:val="apple-converted-space"/>
    <w:basedOn w:val="a0"/>
  </w:style>
  <w:style w:type="character" w:customStyle="1" w:styleId="docheader">
    <w:name w:val="doc_header"/>
    <w:basedOn w:val="a0"/>
  </w:style>
  <w:style w:type="character" w:customStyle="1" w:styleId="10">
    <w:name w:val="Заголовок 1 Знак"/>
    <w:basedOn w:val="a0"/>
    <w:link w:val="1"/>
    <w:rPr>
      <w:rFonts w:ascii="Times New Roman" w:eastAsia="Times New Roman" w:hAnsi="Times New Roman" w:cs="Times New Roman"/>
      <w:b/>
      <w:sz w:val="28"/>
      <w:szCs w:val="20"/>
      <w:lang w:val="en-US" w:eastAsia="ru-RU"/>
    </w:rPr>
  </w:style>
  <w:style w:type="paragraph" w:customStyle="1" w:styleId="11">
    <w:name w:val="Без интервала1"/>
    <w:rPr>
      <w:rFonts w:ascii="Calibri" w:eastAsia="Calibri" w:hAnsi="Calibri" w:cs="Times New Roman"/>
      <w:sz w:val="22"/>
      <w:szCs w:val="22"/>
      <w:lang w:val="en-US" w:eastAsia="en-US"/>
    </w:rPr>
  </w:style>
  <w:style w:type="paragraph" w:customStyle="1" w:styleId="msonormalcxspmiddle">
    <w:name w:val="msonormalcxspmiddle"/>
    <w:basedOn w:val="a"/>
    <w:pPr>
      <w:spacing w:before="100" w:beforeAutospacing="1" w:after="100" w:afterAutospacing="1"/>
    </w:pPr>
  </w:style>
  <w:style w:type="paragraph" w:customStyle="1" w:styleId="21">
    <w:name w:val="Без интервала2"/>
    <w:rPr>
      <w:rFonts w:ascii="Calibri" w:eastAsia="Calibri" w:hAnsi="Calibri" w:cs="Times New Roman"/>
      <w:sz w:val="22"/>
      <w:szCs w:val="22"/>
      <w:lang w:val="en-US" w:eastAsia="en-US"/>
    </w:rPr>
  </w:style>
  <w:style w:type="paragraph" w:styleId="af3">
    <w:name w:val="No Spacing"/>
    <w:uiPriority w:val="1"/>
    <w:qFormat/>
    <w:rPr>
      <w:rFonts w:eastAsiaTheme="minorEastAsia"/>
      <w:sz w:val="22"/>
      <w:szCs w:val="22"/>
      <w:lang w:val="en-US" w:eastAsia="en-US"/>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lang w:eastAsia="ru-RU"/>
    </w:rPr>
  </w:style>
  <w:style w:type="character" w:customStyle="1" w:styleId="ae">
    <w:name w:val="Название Знак"/>
    <w:basedOn w:val="a0"/>
    <w:link w:val="ad"/>
    <w:rPr>
      <w:rFonts w:ascii="Times New Roman" w:eastAsia="Times New Roman" w:hAnsi="Times New Roman" w:cs="Times New Roman"/>
      <w:b/>
      <w:sz w:val="24"/>
      <w:szCs w:val="20"/>
      <w:lang w:val="ro-RO" w:eastAsia="ru-RU"/>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aa">
    <w:name w:val="Верх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qFormat/>
    <w:rPr>
      <w:rFonts w:ascii="Times New Roman" w:eastAsia="Times New Roman" w:hAnsi="Times New Roman" w:cs="Times New Roman"/>
      <w:sz w:val="24"/>
      <w:szCs w:val="24"/>
      <w:lang w:val="ro-RO" w:eastAsia="ru-RU"/>
    </w:rPr>
  </w:style>
  <w:style w:type="paragraph" w:customStyle="1" w:styleId="5">
    <w:name w:val="Без интервала5"/>
    <w:qFormat/>
    <w:rPr>
      <w:rFonts w:ascii="Calibri" w:eastAsia="Times New Roman" w:hAnsi="Calibri" w:cs="Times New Roman"/>
      <w:sz w:val="22"/>
      <w:szCs w:val="22"/>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737034">
      <w:bodyDiv w:val="1"/>
      <w:marLeft w:val="0"/>
      <w:marRight w:val="0"/>
      <w:marTop w:val="0"/>
      <w:marBottom w:val="0"/>
      <w:divBdr>
        <w:top w:val="none" w:sz="0" w:space="0" w:color="auto"/>
        <w:left w:val="none" w:sz="0" w:space="0" w:color="auto"/>
        <w:bottom w:val="none" w:sz="0" w:space="0" w:color="auto"/>
        <w:right w:val="none" w:sz="0" w:space="0" w:color="auto"/>
      </w:divBdr>
    </w:div>
    <w:div w:id="1008480800">
      <w:bodyDiv w:val="1"/>
      <w:marLeft w:val="0"/>
      <w:marRight w:val="0"/>
      <w:marTop w:val="0"/>
      <w:marBottom w:val="0"/>
      <w:divBdr>
        <w:top w:val="none" w:sz="0" w:space="0" w:color="auto"/>
        <w:left w:val="none" w:sz="0" w:space="0" w:color="auto"/>
        <w:bottom w:val="none" w:sz="0" w:space="0" w:color="auto"/>
        <w:right w:val="none" w:sz="0" w:space="0" w:color="auto"/>
      </w:divBdr>
    </w:div>
    <w:div w:id="1853254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37E34-8CD2-4C7E-8CFB-5189F9C1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1285</Words>
  <Characters>7330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Mihai Fecăuțeanu</cp:lastModifiedBy>
  <cp:revision>2</cp:revision>
  <cp:lastPrinted>2025-12-02T08:52:00Z</cp:lastPrinted>
  <dcterms:created xsi:type="dcterms:W3CDTF">2026-05-28T13:40:00Z</dcterms:created>
  <dcterms:modified xsi:type="dcterms:W3CDTF">2026-05-28T13:40:00Z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9C342357EF984B929066C8CAFE18122A_13</vt:lpwstr>
  </property>
</Properties>
</file>