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466"/>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6660"/>
        <w:gridCol w:w="1620"/>
      </w:tblGrid>
      <w:tr w14:paraId="0835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935" w:type="dxa"/>
            <w:tcBorders>
              <w:top w:val="nil"/>
              <w:left w:val="nil"/>
              <w:bottom w:val="single" w:color="auto" w:sz="4" w:space="0"/>
              <w:right w:val="nil"/>
            </w:tcBorders>
          </w:tcPr>
          <w:p w14:paraId="4F7A918D">
            <w:pPr>
              <w:spacing w:after="0" w:line="240" w:lineRule="auto"/>
              <w:jc w:val="center"/>
              <w:rPr>
                <w:rFonts w:ascii="Times New Roman" w:hAnsi="Times New Roman" w:eastAsia="Times New Roman" w:cs="Times New Roman"/>
                <w:b/>
                <w:sz w:val="28"/>
                <w:szCs w:val="24"/>
                <w:lang w:eastAsia="ru-RU"/>
              </w:rPr>
            </w:pPr>
            <w:r>
              <w:rPr>
                <w:rFonts w:ascii="Times New Roman" w:hAnsi="Times New Roman" w:eastAsia="Times New Roman" w:cs="Times New Roman"/>
                <w:sz w:val="24"/>
                <w:szCs w:val="24"/>
                <w:lang w:val="ru-RU" w:eastAsia="ru-RU"/>
              </w:rPr>
              <w:drawing>
                <wp:anchor distT="0" distB="0" distL="114300" distR="114300" simplePos="0" relativeHeight="251660288" behindDoc="0" locked="0" layoutInCell="1" allowOverlap="0">
                  <wp:simplePos x="0" y="0"/>
                  <wp:positionH relativeFrom="margin">
                    <wp:posOffset>116205</wp:posOffset>
                  </wp:positionH>
                  <wp:positionV relativeFrom="margin">
                    <wp:posOffset>52705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srcRect/>
                          <a:stretch>
                            <a:fillRect/>
                          </a:stretch>
                        </pic:blipFill>
                        <pic:spPr>
                          <a:xfrm>
                            <a:off x="0" y="0"/>
                            <a:ext cx="569595" cy="689610"/>
                          </a:xfrm>
                          <a:prstGeom prst="rect">
                            <a:avLst/>
                          </a:prstGeom>
                          <a:noFill/>
                          <a:ln w="9525">
                            <a:noFill/>
                            <a:miter lim="800000"/>
                            <a:headEnd/>
                            <a:tailEnd/>
                          </a:ln>
                        </pic:spPr>
                      </pic:pic>
                    </a:graphicData>
                  </a:graphic>
                </wp:anchor>
              </w:drawing>
            </w:r>
          </w:p>
          <w:p w14:paraId="2C2EB507">
            <w:pPr>
              <w:spacing w:after="0" w:line="240" w:lineRule="auto"/>
              <w:rPr>
                <w:rFonts w:ascii="Times New Roman" w:hAnsi="Times New Roman" w:eastAsia="Times New Roman" w:cs="Times New Roman"/>
                <w:sz w:val="24"/>
                <w:szCs w:val="24"/>
                <w:lang w:eastAsia="ru-RU"/>
              </w:rPr>
            </w:pPr>
          </w:p>
        </w:tc>
        <w:tc>
          <w:tcPr>
            <w:tcW w:w="6660" w:type="dxa"/>
            <w:tcBorders>
              <w:top w:val="nil"/>
              <w:left w:val="nil"/>
              <w:bottom w:val="single" w:color="auto" w:sz="4" w:space="0"/>
              <w:right w:val="nil"/>
            </w:tcBorders>
          </w:tcPr>
          <w:p w14:paraId="16E3891D">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REPUBLICA  MOLDOVA</w:t>
            </w:r>
          </w:p>
          <w:p w14:paraId="320FE086">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CONSILIUL  RAIONAL</w:t>
            </w:r>
          </w:p>
          <w:p w14:paraId="262536FE">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eastAsia="ru-RU"/>
              </w:rPr>
              <w:t>S</w:t>
            </w:r>
            <w:r>
              <w:rPr>
                <w:rFonts w:ascii="Times New Roman" w:hAnsi="Times New Roman" w:eastAsia="Times New Roman" w:cs="Times New Roman"/>
                <w:b/>
                <w:sz w:val="24"/>
                <w:szCs w:val="24"/>
                <w:lang w:val="ro-RO" w:eastAsia="ru-RU"/>
              </w:rPr>
              <w:t>ÎNGEREI</w:t>
            </w:r>
          </w:p>
          <w:p w14:paraId="7CBB7E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ro-RO" w:eastAsia="ru-RU"/>
              </w:rPr>
              <w:t xml:space="preserve">PREŞEDINTELE RAIONULUI </w:t>
            </w:r>
          </w:p>
        </w:tc>
        <w:tc>
          <w:tcPr>
            <w:tcW w:w="1620" w:type="dxa"/>
            <w:tcBorders>
              <w:top w:val="nil"/>
              <w:left w:val="nil"/>
              <w:bottom w:val="single" w:color="auto" w:sz="4" w:space="0"/>
              <w:right w:val="nil"/>
            </w:tcBorders>
          </w:tcPr>
          <w:p w14:paraId="3FF482A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22444C9B">
            <w:pPr>
              <w:spacing w:after="0" w:line="240" w:lineRule="auto"/>
              <w:jc w:val="center"/>
              <w:rPr>
                <w:rFonts w:ascii="Times New Roman" w:hAnsi="Times New Roman" w:eastAsia="Times New Roman" w:cs="Times New Roman"/>
                <w:b/>
                <w:sz w:val="18"/>
                <w:szCs w:val="18"/>
                <w:lang w:eastAsia="ru-RU"/>
              </w:rPr>
            </w:pPr>
            <w:r>
              <w:rPr>
                <w:rFonts w:ascii="Times New Roman" w:hAnsi="Times New Roman" w:eastAsia="Times New Roman" w:cs="Times New Roman"/>
                <w:b/>
                <w:sz w:val="20"/>
                <w:szCs w:val="20"/>
                <w:lang w:val="ru-RU" w:eastAsia="ru-RU"/>
              </w:rPr>
              <w:drawing>
                <wp:inline distT="0" distB="0" distL="0" distR="0">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496570" cy="626110"/>
                          </a:xfrm>
                          <a:prstGeom prst="rect">
                            <a:avLst/>
                          </a:prstGeom>
                          <a:noFill/>
                          <a:ln w="9525">
                            <a:noFill/>
                            <a:miter lim="800000"/>
                            <a:headEnd/>
                            <a:tailEnd/>
                          </a:ln>
                        </pic:spPr>
                      </pic:pic>
                    </a:graphicData>
                  </a:graphic>
                </wp:inline>
              </w:drawing>
            </w:r>
          </w:p>
          <w:p w14:paraId="313BA24A">
            <w:pPr>
              <w:spacing w:after="0" w:line="240" w:lineRule="auto"/>
              <w:rPr>
                <w:rFonts w:ascii="Times New Roman" w:hAnsi="Times New Roman" w:eastAsia="Times New Roman" w:cs="Times New Roman"/>
                <w:sz w:val="18"/>
                <w:szCs w:val="18"/>
                <w:lang w:eastAsia="ru-RU"/>
              </w:rPr>
            </w:pPr>
          </w:p>
          <w:p w14:paraId="57CDAB67">
            <w:pPr>
              <w:spacing w:after="0" w:line="240" w:lineRule="auto"/>
              <w:jc w:val="right"/>
              <w:rPr>
                <w:rFonts w:ascii="Times New Roman" w:hAnsi="Times New Roman" w:eastAsia="Times New Roman" w:cs="Times New Roman"/>
                <w:sz w:val="18"/>
                <w:szCs w:val="18"/>
                <w:lang w:eastAsia="ru-RU"/>
              </w:rPr>
            </w:pPr>
          </w:p>
        </w:tc>
      </w:tr>
      <w:tr w14:paraId="3372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0215" w:type="dxa"/>
            <w:gridSpan w:val="3"/>
            <w:tcBorders>
              <w:top w:val="single" w:color="auto" w:sz="4" w:space="0"/>
              <w:left w:val="nil"/>
              <w:bottom w:val="thinThickSmallGap" w:color="auto" w:sz="24" w:space="0"/>
              <w:right w:val="nil"/>
            </w:tcBorders>
          </w:tcPr>
          <w:p w14:paraId="032166D6">
            <w:pPr>
              <w:spacing w:after="0" w:line="240" w:lineRule="auto"/>
              <w:rPr>
                <w:rFonts w:ascii="Times New Roman" w:hAnsi="Times New Roman" w:eastAsia="Times New Roman" w:cs="Times New Roman"/>
                <w:b/>
                <w:sz w:val="24"/>
                <w:szCs w:val="24"/>
                <w:lang w:val="ro-RO" w:eastAsia="ru-RU"/>
              </w:rPr>
            </w:pPr>
          </w:p>
        </w:tc>
      </w:tr>
    </w:tbl>
    <w:p w14:paraId="54E7967F">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Nr.________________</w:t>
      </w:r>
    </w:p>
    <w:p w14:paraId="53855662">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din ______________ 2026</w:t>
      </w:r>
    </w:p>
    <w:tbl>
      <w:tblPr>
        <w:tblStyle w:val="5"/>
        <w:tblpPr w:leftFromText="180" w:rightFromText="180" w:vertAnchor="page" w:horzAnchor="margin" w:tblpXSpec="center" w:tblpY="3481"/>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8"/>
        <w:gridCol w:w="4718"/>
      </w:tblGrid>
      <w:tr w14:paraId="5BA8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4718" w:type="dxa"/>
          </w:tcPr>
          <w:p w14:paraId="3D4FDC0C">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SECRETARĂ INTERIMARĂ A</w:t>
            </w:r>
          </w:p>
          <w:p w14:paraId="3BB98829">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 xml:space="preserve"> Consiliului raional     </w:t>
            </w:r>
          </w:p>
          <w:p w14:paraId="57A95187">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b/>
                <w:lang w:val="ro-RO" w:eastAsia="ru-RU"/>
              </w:rPr>
              <w:t xml:space="preserve">Angela MIHALIUC                                                                                                     </w:t>
            </w:r>
            <w:r>
              <w:rPr>
                <w:rFonts w:ascii="Times New Roman" w:hAnsi="Times New Roman" w:eastAsia="Times New Roman" w:cs="Times New Roman"/>
                <w:lang w:val="ro-RO" w:eastAsia="ru-RU"/>
              </w:rPr>
              <w:t xml:space="preserve">                                                                                                         </w:t>
            </w:r>
          </w:p>
        </w:tc>
        <w:tc>
          <w:tcPr>
            <w:tcW w:w="4718" w:type="dxa"/>
          </w:tcPr>
          <w:p w14:paraId="15A99092">
            <w:pPr>
              <w:spacing w:after="0" w:line="276" w:lineRule="auto"/>
              <w:jc w:val="right"/>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De acord şi dispun elaborarea</w:t>
            </w:r>
          </w:p>
          <w:p w14:paraId="251BF36D">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lang w:val="ro-RO" w:eastAsia="ru-RU"/>
              </w:rPr>
              <w:t>proiectului de decizie</w:t>
            </w:r>
            <w:r>
              <w:rPr>
                <w:rFonts w:ascii="Times New Roman" w:hAnsi="Times New Roman" w:eastAsia="Times New Roman" w:cs="Times New Roman"/>
                <w:b/>
                <w:lang w:val="ro-RO" w:eastAsia="ru-RU"/>
              </w:rPr>
              <w:t xml:space="preserve"> </w:t>
            </w:r>
          </w:p>
          <w:p w14:paraId="3C5673E4">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b/>
                <w:lang w:val="ro-RO" w:eastAsia="ru-RU"/>
              </w:rPr>
              <w:t>PREŞEDINTE,</w:t>
            </w:r>
            <w:r>
              <w:rPr>
                <w:rFonts w:ascii="Times New Roman" w:hAnsi="Times New Roman" w:eastAsia="Times New Roman" w:cs="Times New Roman"/>
                <w:lang w:val="ro-RO" w:eastAsia="ru-RU"/>
              </w:rPr>
              <w:t xml:space="preserve">                                                                                                                               </w:t>
            </w:r>
            <w:r>
              <w:rPr>
                <w:rFonts w:ascii="Times New Roman" w:hAnsi="Times New Roman" w:eastAsia="Times New Roman" w:cs="Times New Roman"/>
                <w:b/>
                <w:lang w:val="ro-RO" w:eastAsia="ru-RU"/>
              </w:rPr>
              <w:t xml:space="preserve">Cristian CAINARIAN                  </w:t>
            </w:r>
          </w:p>
        </w:tc>
      </w:tr>
    </w:tbl>
    <w:p w14:paraId="735E2A87">
      <w:pPr>
        <w:spacing w:after="0" w:line="240" w:lineRule="auto"/>
        <w:rPr>
          <w:rFonts w:ascii="Times New Roman" w:hAnsi="Times New Roman" w:eastAsia="Times New Roman" w:cs="Times New Roman"/>
          <w:lang w:val="ro-RO" w:eastAsia="ru-RU"/>
        </w:rPr>
      </w:pPr>
    </w:p>
    <w:p w14:paraId="7E9264E4">
      <w:pPr>
        <w:spacing w:after="0" w:line="240" w:lineRule="auto"/>
        <w:contextualSpacing/>
        <w:jc w:val="center"/>
        <w:rPr>
          <w:rFonts w:ascii="Times New Roman" w:hAnsi="Times New Roman" w:eastAsia="Times New Roman" w:cs="Times New Roman"/>
          <w:lang w:val="zh-CN" w:eastAsia="ru-RU"/>
        </w:rPr>
      </w:pPr>
      <w:r>
        <w:rPr>
          <w:rFonts w:ascii="Times New Roman" w:hAnsi="Times New Roman" w:eastAsia="Times New Roman" w:cs="Times New Roman"/>
          <w:b/>
          <w:lang w:val="zh-CN" w:eastAsia="ru-RU"/>
        </w:rPr>
        <w:t>NOTĂ DE FUNDAMENTARE</w:t>
      </w:r>
    </w:p>
    <w:p w14:paraId="3F3FBAFB">
      <w:pPr>
        <w:spacing w:after="0" w:line="276"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Cu privire la reorganizarea prin transformare</w:t>
      </w:r>
    </w:p>
    <w:p w14:paraId="0AF51431">
      <w:pPr>
        <w:spacing w:after="0" w:line="27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a Gimnaziului „Mihailovca”, s. Mihailovca, </w:t>
      </w:r>
      <w:r>
        <w:rPr>
          <w:rFonts w:ascii="Times New Roman" w:hAnsi="Times New Roman" w:cs="Times New Roman"/>
          <w:b/>
          <w:sz w:val="24"/>
        </w:rPr>
        <w:t>com. Prepelița,</w:t>
      </w:r>
      <w:r>
        <w:rPr>
          <w:rFonts w:ascii="Times New Roman" w:hAnsi="Times New Roman" w:eastAsia="Times New Roman" w:cs="Times New Roman"/>
          <w:b/>
          <w:bCs/>
          <w:sz w:val="28"/>
          <w:szCs w:val="24"/>
          <w:lang w:eastAsia="ru-RU"/>
        </w:rPr>
        <w:t xml:space="preserve"> </w:t>
      </w:r>
      <w:r>
        <w:rPr>
          <w:rFonts w:ascii="Times New Roman" w:hAnsi="Times New Roman" w:eastAsia="Times New Roman" w:cs="Times New Roman"/>
          <w:b/>
          <w:bCs/>
          <w:sz w:val="24"/>
          <w:szCs w:val="24"/>
          <w:lang w:eastAsia="ru-RU"/>
        </w:rPr>
        <w:t>r-nul Sîngerei</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5094"/>
      </w:tblGrid>
      <w:tr w14:paraId="1C7D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0AF2B7B1">
            <w:pPr>
              <w:tabs>
                <w:tab w:val="left" w:pos="284"/>
                <w:tab w:val="left" w:pos="1196"/>
              </w:tabs>
              <w:spacing w:after="0" w:line="240" w:lineRule="auto"/>
              <w:jc w:val="both"/>
              <w:rPr>
                <w:rFonts w:ascii="Times New Roman" w:hAnsi="Times New Roman" w:eastAsia="Times New Roman" w:cs="Times New Roman"/>
                <w:b/>
                <w:color w:val="000000"/>
                <w:sz w:val="24"/>
                <w:szCs w:val="24"/>
                <w:lang w:val="zh-CN"/>
              </w:rPr>
            </w:pPr>
            <w:r>
              <w:rPr>
                <w:rFonts w:ascii="Times New Roman" w:hAnsi="Times New Roman" w:eastAsia="Times New Roman" w:cs="Times New Roman"/>
                <w:b/>
                <w:color w:val="000000"/>
                <w:sz w:val="24"/>
                <w:szCs w:val="24"/>
                <w:lang w:val="zh-CN" w:eastAsia="ru-RU"/>
              </w:rPr>
              <w:t>1.  Denumirea sau numele autorului şi, după caz, a/al participanţilor la elaborarea proiectului actului normativ</w:t>
            </w:r>
          </w:p>
        </w:tc>
      </w:tr>
      <w:tr w14:paraId="658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2"/>
          </w:tcPr>
          <w:p w14:paraId="205E8782">
            <w:pPr>
              <w:spacing w:before="100" w:beforeAutospacing="1" w:after="100" w:afterAutospacing="1"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sz w:val="24"/>
                <w:szCs w:val="24"/>
                <w:lang w:val="zh-CN" w:eastAsia="ru-RU"/>
              </w:rPr>
              <w:t xml:space="preserve">    Proiectul de decizie  este elaborat de către Direcția Educație.</w:t>
            </w:r>
          </w:p>
        </w:tc>
      </w:tr>
      <w:tr w14:paraId="1AC4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000" w:type="pct"/>
            <w:gridSpan w:val="2"/>
          </w:tcPr>
          <w:p w14:paraId="29B4DE62">
            <w:pPr>
              <w:tabs>
                <w:tab w:val="left" w:pos="884"/>
                <w:tab w:val="left" w:pos="1196"/>
              </w:tabs>
              <w:spacing w:after="0" w:line="240" w:lineRule="auto"/>
              <w:jc w:val="both"/>
              <w:rPr>
                <w:rFonts w:ascii="Times New Roman" w:hAnsi="Times New Roman" w:eastAsia="Times New Roman" w:cs="Times New Roman"/>
                <w:b/>
                <w:color w:val="000000"/>
                <w:sz w:val="24"/>
                <w:szCs w:val="24"/>
                <w:lang w:val="zh-CN"/>
              </w:rPr>
            </w:pPr>
            <w:r>
              <w:rPr>
                <w:rFonts w:ascii="Times New Roman" w:hAnsi="Times New Roman" w:eastAsia="Times New Roman" w:cs="Times New Roman"/>
                <w:b/>
                <w:color w:val="000000"/>
                <w:sz w:val="24"/>
                <w:szCs w:val="24"/>
                <w:lang w:val="zh-CN" w:eastAsia="ru-RU"/>
              </w:rPr>
              <w:t>2. Condiţiile ce au impus elaborarea proiectului actului normativ</w:t>
            </w:r>
          </w:p>
        </w:tc>
      </w:tr>
      <w:tr w14:paraId="505C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000" w:type="pct"/>
            <w:gridSpan w:val="2"/>
          </w:tcPr>
          <w:p w14:paraId="6DA0E41E">
            <w:pPr>
              <w:pStyle w:val="4"/>
              <w:spacing w:before="0" w:beforeAutospacing="0" w:after="0" w:afterAutospacing="0"/>
              <w:ind w:firstLine="313"/>
              <w:jc w:val="both"/>
              <w:rPr>
                <w:rFonts w:hint="default"/>
                <w:lang w:val="ro-RO"/>
              </w:rPr>
            </w:pPr>
            <w:r>
              <w:rPr>
                <w:lang w:val="zh-CN"/>
              </w:rPr>
              <w:t>Proiectul de decizie este elaborat în temeiul prevederilor art. 43 alin. (2) al Legii privind administrația publică locală nr. 436/2006, art. 21 alin. (1), art. 141 alin. (1) lit. j)</w:t>
            </w:r>
            <w:r>
              <w:rPr>
                <w:rFonts w:hint="default"/>
                <w:lang w:val="ro-RO"/>
              </w:rPr>
              <w:t>, art. 145</w:t>
            </w:r>
            <w:r>
              <w:rPr>
                <w:rFonts w:hint="default"/>
                <w:vertAlign w:val="superscript"/>
                <w:lang w:val="ro-RO"/>
              </w:rPr>
              <w:t xml:space="preserve">1 </w:t>
            </w:r>
            <w:r>
              <w:rPr>
                <w:rFonts w:hint="default"/>
                <w:vertAlign w:val="baseline"/>
                <w:lang w:val="ro-RO"/>
              </w:rPr>
              <w:t>alin. (13)</w:t>
            </w:r>
            <w:r>
              <w:rPr>
                <w:lang w:val="zh-CN"/>
              </w:rPr>
              <w:t xml:space="preserve"> din Codul Educației al Republicii Moldova nr. 152/2014, art. 88, art. 88</w:t>
            </w:r>
            <w:r>
              <w:rPr>
                <w:vertAlign w:val="superscript"/>
                <w:lang w:val="zh-CN"/>
              </w:rPr>
              <w:t>1</w:t>
            </w:r>
            <w:r>
              <w:rPr>
                <w:lang w:val="zh-CN"/>
              </w:rPr>
              <w:t xml:space="preserve"> și art. 184 alin. (1) lit. a) din Codul Muncii al Republicii Moldova nr. 154/2003, Codul Civil al Republicii Moldova nr. 1107/2002</w:t>
            </w:r>
            <w:r>
              <w:rPr>
                <w:rFonts w:hint="default"/>
                <w:lang w:val="ro-RO"/>
              </w:rPr>
              <w:t>.</w:t>
            </w:r>
          </w:p>
        </w:tc>
      </w:tr>
      <w:tr w14:paraId="3811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E3AFD3A">
            <w:pPr>
              <w:tabs>
                <w:tab w:val="left" w:pos="884"/>
                <w:tab w:val="left" w:pos="1196"/>
              </w:tabs>
              <w:spacing w:after="0" w:line="240" w:lineRule="auto"/>
              <w:jc w:val="both"/>
              <w:rPr>
                <w:rFonts w:ascii="Times New Roman" w:hAnsi="Times New Roman" w:eastAsia="Times New Roman" w:cs="Times New Roman"/>
                <w:b/>
                <w:color w:val="000000"/>
                <w:sz w:val="24"/>
                <w:szCs w:val="24"/>
                <w:lang w:val="zh-CN"/>
              </w:rPr>
            </w:pPr>
            <w:r>
              <w:rPr>
                <w:rFonts w:ascii="Times New Roman" w:hAnsi="Times New Roman" w:eastAsia="Times New Roman" w:cs="Times New Roman"/>
                <w:b/>
                <w:color w:val="000000"/>
                <w:sz w:val="24"/>
                <w:szCs w:val="24"/>
                <w:lang w:val="zh-CN" w:eastAsia="ru-RU"/>
              </w:rPr>
              <w:t>3. Obiectivele urmărite și soluțiile propuse</w:t>
            </w:r>
          </w:p>
        </w:tc>
      </w:tr>
      <w:tr w14:paraId="0DE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2"/>
          </w:tcPr>
          <w:p w14:paraId="4623EC91">
            <w:pPr>
              <w:pStyle w:val="4"/>
              <w:spacing w:before="0" w:beforeAutospacing="0" w:after="0" w:afterAutospacing="0"/>
              <w:ind w:firstLine="313"/>
              <w:jc w:val="both"/>
              <w:rPr>
                <w:lang w:val="en-US"/>
              </w:rPr>
            </w:pPr>
            <w:r>
              <w:rPr>
                <w:lang w:val="en-US"/>
              </w:rPr>
              <w:t>Procedura de reorganizare a Instituției Publice Gimnaziul „Mihailovca”, s. Mihailovca, com. Prepelița, r-nul Sîngerei, în Instituție Publică Școală Primară-Grădiniță „Mihailovca” se efectuează în conformitate cu prevederile Codului educației al Republicii Moldova nr. 152/2014, precum și ale actelor normative subsecvente care reglementează organizarea și funcționarea instituțiilor de învățământ general.</w:t>
            </w:r>
          </w:p>
          <w:p w14:paraId="6B3744F9">
            <w:pPr>
              <w:pStyle w:val="4"/>
              <w:spacing w:before="0" w:beforeAutospacing="0" w:after="0" w:afterAutospacing="0"/>
              <w:ind w:firstLine="313"/>
              <w:jc w:val="both"/>
              <w:rPr>
                <w:lang w:val="en-US"/>
              </w:rPr>
            </w:pPr>
            <w:r>
              <w:rPr>
                <w:lang w:val="en-US"/>
              </w:rPr>
              <w:t>Scopul proiectului de decizie constă în aprobarea reorganizării instituției menționate, în vederea asigurării unor condiții optime de școlarizare a copiilor și garantării accesului la un proces educațional de calitate pentru elevii din localitățile raionului Sîngerei.</w:t>
            </w:r>
          </w:p>
          <w:p w14:paraId="425DFD8B">
            <w:pPr>
              <w:pStyle w:val="4"/>
              <w:spacing w:before="0" w:beforeAutospacing="0" w:after="0" w:afterAutospacing="0"/>
              <w:ind w:firstLine="313"/>
              <w:jc w:val="both"/>
              <w:rPr>
                <w:lang w:val="en-US"/>
              </w:rPr>
            </w:pPr>
            <w:r>
              <w:rPr>
                <w:lang w:val="en-US"/>
              </w:rPr>
              <w:t>Prin Decizia Consiliului raional Sîngerei nr. 6/10 din 14.12.2012, Gimnaziul Mihailovca, s. Mihailovca, com. Prepelița, a fost inclus în Anexa nr. 2 „Lista instituțiilor de învățământ fără statut de persoană juridică (executori terțiari de buget), care vor fi finanțate din bugetul raional prin intermediul Direcției Educație”, fiind calificat drept „școală mică”, conform prevederilor pct. 5 din Hotărârea Guvernului nr. 868/2014 privind finanțarea în bază de cost standard per elev a instituțiilor de învățământ primar și secundar general (ciclul I și II) din subordinea autorităților publice locale de nivelul al doilea. Potrivit prevederilor menționate, școală mică este considerată instituția de învățământ care înregistrează un număr egal sau mai mic de 91 de „elevi ponderați”.</w:t>
            </w:r>
          </w:p>
          <w:p w14:paraId="2AD4855B">
            <w:pPr>
              <w:pStyle w:val="4"/>
              <w:spacing w:before="0" w:beforeAutospacing="0" w:after="0" w:afterAutospacing="0"/>
              <w:ind w:firstLine="313"/>
              <w:jc w:val="both"/>
              <w:rPr>
                <w:lang w:val="en-US"/>
              </w:rPr>
            </w:pPr>
            <w:r>
              <w:rPr>
                <w:lang w:val="en-US"/>
              </w:rPr>
              <w:t>Necesitatea reorganizării instituției a rezultat în urma analizei situației actuale din cadrul sistemului educațional al instituției, care relevă o diminuare continuă a numărului de elevi, fapt ce nu mai permite asigurarea unei funcționări eficiente și sustenabile a instituției de învățământ.</w:t>
            </w:r>
          </w:p>
          <w:p w14:paraId="360CAEF4">
            <w:pPr>
              <w:pStyle w:val="4"/>
              <w:spacing w:before="0" w:beforeAutospacing="0" w:after="0" w:afterAutospacing="0"/>
              <w:jc w:val="both"/>
              <w:rPr>
                <w:lang w:val="en-US"/>
              </w:rPr>
            </w:pPr>
            <w:r>
              <w:rPr>
                <w:lang w:val="en-US"/>
              </w:rPr>
              <w:t>Astfel, în anul de studii 2025–2026, în cadrul Gimnaziului Mihailovca și-au făcut studiile 59 de elevi, dintre care 22 elevi în clasele I–IV și 37 elevi în clasele V–IX.</w:t>
            </w:r>
          </w:p>
          <w:p w14:paraId="1FA097A4">
            <w:pPr>
              <w:pStyle w:val="4"/>
              <w:spacing w:before="0" w:beforeAutospacing="0" w:after="0" w:afterAutospacing="0"/>
              <w:ind w:firstLine="313"/>
              <w:jc w:val="both"/>
              <w:rPr>
                <w:lang w:val="en-US"/>
              </w:rPr>
            </w:pPr>
            <w:r>
              <w:rPr>
                <w:lang w:val="en-US"/>
              </w:rPr>
              <w:t>Totodată, analiza datelor demografice privind natalitatea din localitate relevă o tendință continuă de descreștere a numărului de copii, ceea ce va conduce, în perspectivă, la diminuarea și mai accentuată a efectivului de elevi și la imposibilitatea menținerii ciclului gimnazial în condiții de eficiență educațională și financiară.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947"/>
              <w:gridCol w:w="1947"/>
              <w:gridCol w:w="1947"/>
              <w:gridCol w:w="1947"/>
            </w:tblGrid>
            <w:tr w14:paraId="708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14:paraId="6EE62F9D">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c>
                <w:tcPr>
                  <w:tcW w:w="1947" w:type="dxa"/>
                </w:tcPr>
                <w:p w14:paraId="0FBD8D5A">
                  <w:pPr>
                    <w:spacing w:after="0" w:line="240" w:lineRule="auto"/>
                    <w:rPr>
                      <w:rFonts w:ascii="Times New Roman" w:hAnsi="Times New Roman" w:cs="Times New Roman"/>
                      <w:sz w:val="24"/>
                      <w:szCs w:val="24"/>
                    </w:rPr>
                  </w:pPr>
                  <w:r>
                    <w:rPr>
                      <w:rFonts w:ascii="Times New Roman" w:hAnsi="Times New Roman" w:cs="Times New Roman"/>
                      <w:sz w:val="24"/>
                      <w:szCs w:val="24"/>
                    </w:rPr>
                    <w:t>2020</w:t>
                  </w:r>
                </w:p>
              </w:tc>
              <w:tc>
                <w:tcPr>
                  <w:tcW w:w="1947" w:type="dxa"/>
                </w:tcPr>
                <w:p w14:paraId="75E47E26">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1947" w:type="dxa"/>
                </w:tcPr>
                <w:p w14:paraId="59C86A72">
                  <w:pPr>
                    <w:spacing w:after="0" w:line="240" w:lineRule="auto"/>
                    <w:rPr>
                      <w:rFonts w:ascii="Times New Roman" w:hAnsi="Times New Roman" w:cs="Times New Roman"/>
                      <w:sz w:val="24"/>
                      <w:szCs w:val="24"/>
                    </w:rPr>
                  </w:pPr>
                  <w:r>
                    <w:rPr>
                      <w:rFonts w:ascii="Times New Roman" w:hAnsi="Times New Roman" w:cs="Times New Roman"/>
                      <w:sz w:val="24"/>
                      <w:szCs w:val="24"/>
                    </w:rPr>
                    <w:t>2022</w:t>
                  </w:r>
                </w:p>
              </w:tc>
              <w:tc>
                <w:tcPr>
                  <w:tcW w:w="1947" w:type="dxa"/>
                </w:tcPr>
                <w:p w14:paraId="78A86DF4">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r>
            <w:tr w14:paraId="74F0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14:paraId="3E1742D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47" w:type="dxa"/>
                </w:tcPr>
                <w:p w14:paraId="1D6D30C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47" w:type="dxa"/>
                </w:tcPr>
                <w:p w14:paraId="00F49B2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47" w:type="dxa"/>
                </w:tcPr>
                <w:p w14:paraId="42F2149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47" w:type="dxa"/>
                </w:tcPr>
                <w:p w14:paraId="5C0CDFB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bl>
          <w:p w14:paraId="32A977D8">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Baza materială existentă nu asigură desfășurarea eficientă a procesului educațional: </w:t>
            </w:r>
          </w:p>
          <w:p w14:paraId="2A676CA4">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Lipsa laboratoarelor de fizică, chimie, biologie;</w:t>
            </w:r>
          </w:p>
          <w:p w14:paraId="5CBF9AE1">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Lipsa  cabinetului medical, a sălii de lectură;</w:t>
            </w:r>
          </w:p>
          <w:p w14:paraId="3DA598A2">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Lipsa facilităților pentru elevii cu cerințe educaționale speciale ( grup sanitar);</w:t>
            </w:r>
          </w:p>
          <w:p w14:paraId="14DD521A">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Lipsa  sălii  sportive, de festivități;</w:t>
            </w:r>
          </w:p>
          <w:p w14:paraId="09A35B5B">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Prezența unui singur bloc sanitar intern;</w:t>
            </w:r>
          </w:p>
          <w:p w14:paraId="5AF47678">
            <w:pPr>
              <w:tabs>
                <w:tab w:val="left" w:pos="442"/>
              </w:tabs>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4"/>
                <w:szCs w:val="24"/>
                <w:lang w:val="zh-CN" w:eastAsia="ru-RU"/>
              </w:rPr>
              <w:tab/>
            </w:r>
            <w:r>
              <w:rPr>
                <w:rFonts w:ascii="Times New Roman" w:hAnsi="Times New Roman" w:eastAsia="Times New Roman" w:cs="Times New Roman"/>
                <w:sz w:val="24"/>
                <w:szCs w:val="24"/>
                <w:lang w:val="zh-CN" w:eastAsia="ru-RU"/>
              </w:rPr>
              <w:t>Blocul alimentar necesită utilaj tehnologic conform  standardelor.</w:t>
            </w:r>
          </w:p>
          <w:p w14:paraId="6F71AD36">
            <w:pPr>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Bugetul (mii lei) anul 2026</w:t>
            </w:r>
          </w:p>
          <w:p w14:paraId="770EE5BA">
            <w:pPr>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Bugetul total al școlii anul 2026 – 2294,2  mii lei </w:t>
            </w:r>
          </w:p>
          <w:p w14:paraId="11900D2E">
            <w:pPr>
              <w:spacing w:after="0" w:line="240" w:lineRule="auto"/>
              <w:ind w:firstLine="205"/>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Deficit de buget – 1567,0  mii lei      </w:t>
            </w:r>
          </w:p>
          <w:p w14:paraId="5E5653E2">
            <w:pPr>
              <w:pStyle w:val="4"/>
              <w:spacing w:before="0" w:beforeAutospacing="0" w:after="0" w:afterAutospacing="0"/>
              <w:ind w:firstLine="171"/>
              <w:jc w:val="both"/>
              <w:rPr>
                <w:lang w:val="en-US"/>
              </w:rPr>
            </w:pPr>
            <w:r>
              <w:rPr>
                <w:lang w:val="en-US"/>
              </w:rPr>
              <w:t>Considerăm oportun și justificat prezentul proiect de decizie, acesta fiind orientat spre asigurarea interesului superior al copilului, precum și spre crearea unor condiții educaționale eficiente și sustenabile, în beneficiul elevilor, al părinților și al personalului didactic și nedidactic din cadrul instituției.</w:t>
            </w:r>
          </w:p>
          <w:p w14:paraId="30DCEB74">
            <w:pPr>
              <w:pStyle w:val="4"/>
              <w:spacing w:before="0" w:beforeAutospacing="0" w:after="0" w:afterAutospacing="0"/>
              <w:ind w:firstLine="171"/>
              <w:jc w:val="both"/>
              <w:rPr>
                <w:lang w:val="en-US"/>
              </w:rPr>
            </w:pPr>
            <w:r>
              <w:rPr>
                <w:lang w:val="en-US"/>
              </w:rPr>
              <w:t>În acest context, se propune reorganizarea prin transformare a Instituției Publice Gimnaziul Mihailovca, s. Mihailovca, r-nul Sîngerei, în Instituție Publică Școală Primară-Grădiniță Mihailovca, începând cu data de 01 septembrie 2026.</w:t>
            </w:r>
          </w:p>
          <w:p w14:paraId="1610647D">
            <w:pPr>
              <w:spacing w:after="0" w:line="240" w:lineRule="auto"/>
              <w:ind w:firstLine="313"/>
              <w:jc w:val="both"/>
              <w:rPr>
                <w:rFonts w:ascii="Times New Roman" w:hAnsi="Times New Roman" w:eastAsia="Calibri" w:cs="Times New Roman"/>
                <w:i/>
                <w:sz w:val="24"/>
                <w:szCs w:val="24"/>
                <w:lang w:eastAsia="ru-RU"/>
              </w:rPr>
            </w:pPr>
            <w:r>
              <w:rPr>
                <w:rFonts w:ascii="Times New Roman" w:hAnsi="Times New Roman" w:cs="Times New Roman"/>
                <w:sz w:val="24"/>
              </w:rPr>
              <w:t>Stabilirea acestei date va permite Direcției Educație asigurarea respectării procedurilor legale prevăzute de art. 88, art. 88¹ și art. 184 alin. (1) lit. a) din Codul muncii al Republicii Moldova nr. 154/2003, referitoare la informarea și preavizarea salariaților, sub semnătură, cu cel puțin două luni înainte de reorganizarea unității și eventuala reducere a numărului sau a statelor de personal, precum și aplicarea procedurilor legale privind încetarea sau transferul raporturilor de muncă la o altă unitate.</w:t>
            </w:r>
          </w:p>
        </w:tc>
      </w:tr>
      <w:tr w14:paraId="5869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28D6EDAE">
            <w:pPr>
              <w:spacing w:before="100" w:beforeAutospacing="1" w:after="100" w:afterAutospacing="1" w:line="240" w:lineRule="auto"/>
              <w:jc w:val="both"/>
              <w:rPr>
                <w:rFonts w:ascii="Times New Roman" w:hAnsi="Times New Roman" w:eastAsia="Times New Roman" w:cs="Times New Roman"/>
                <w:b/>
                <w:color w:val="000000"/>
                <w:sz w:val="24"/>
                <w:szCs w:val="24"/>
                <w:lang w:val="zh-CN" w:eastAsia="ru-RU"/>
              </w:rPr>
            </w:pPr>
            <w:r>
              <w:rPr>
                <w:rFonts w:ascii="Times New Roman" w:hAnsi="Times New Roman" w:eastAsia="Times New Roman" w:cs="Times New Roman"/>
                <w:b/>
                <w:color w:val="000000"/>
                <w:sz w:val="24"/>
                <w:szCs w:val="24"/>
                <w:lang w:val="zh-CN" w:eastAsia="ru-RU"/>
              </w:rPr>
              <w:t>4. Analiza impactului de reglementare</w:t>
            </w:r>
          </w:p>
        </w:tc>
      </w:tr>
      <w:tr w14:paraId="6D07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2"/>
          </w:tcPr>
          <w:p w14:paraId="4FCC55E3">
            <w:pPr>
              <w:tabs>
                <w:tab w:val="left" w:pos="273"/>
              </w:tabs>
              <w:spacing w:after="0" w:line="240" w:lineRule="auto"/>
              <w:jc w:val="both"/>
              <w:rPr>
                <w:rFonts w:ascii="Times New Roman" w:hAnsi="Times New Roman" w:eastAsia="Calibri" w:cs="Times New Roman"/>
                <w:color w:val="000000"/>
                <w:sz w:val="24"/>
                <w:szCs w:val="24"/>
                <w:lang w:val="zh-CN"/>
              </w:rPr>
            </w:pPr>
            <w:r>
              <w:rPr>
                <w:rFonts w:ascii="Times New Roman" w:hAnsi="Times New Roman" w:eastAsia="Calibri" w:cs="Times New Roman"/>
                <w:sz w:val="24"/>
                <w:szCs w:val="24"/>
                <w:lang w:val="zh-CN"/>
              </w:rPr>
              <w:t>Proiectul de decizie nu necesită alocarea unor surse financiare bugetului CR.</w:t>
            </w:r>
          </w:p>
        </w:tc>
      </w:tr>
      <w:tr w14:paraId="5CAA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5C9F0C61">
            <w:pPr>
              <w:spacing w:after="0" w:line="240" w:lineRule="auto"/>
              <w:rPr>
                <w:rFonts w:ascii="Times New Roman" w:hAnsi="Times New Roman" w:eastAsia="Times New Roman" w:cs="Times New Roman"/>
                <w:color w:val="000000"/>
                <w:sz w:val="24"/>
                <w:szCs w:val="24"/>
                <w:lang w:val="zh-CN"/>
              </w:rPr>
            </w:pPr>
            <w:r>
              <w:rPr>
                <w:rFonts w:ascii="Times New Roman" w:hAnsi="Times New Roman" w:eastAsia="Calibri" w:cs="Times New Roman"/>
                <w:b/>
                <w:color w:val="000000"/>
                <w:sz w:val="24"/>
                <w:szCs w:val="24"/>
                <w:lang w:val="zh-CN"/>
              </w:rPr>
              <w:t xml:space="preserve">5. Compatibilitatea proiectului actului normative cu legislația UE - </w:t>
            </w:r>
            <w:r>
              <w:rPr>
                <w:rFonts w:ascii="Times New Roman" w:hAnsi="Times New Roman" w:eastAsia="Calibri" w:cs="Times New Roman"/>
                <w:color w:val="000000"/>
                <w:sz w:val="24"/>
                <w:szCs w:val="24"/>
                <w:lang w:val="zh-CN"/>
              </w:rPr>
              <w:t>„Nu este aplicabil”.</w:t>
            </w:r>
          </w:p>
        </w:tc>
      </w:tr>
      <w:tr w14:paraId="16D6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1E17EC70">
            <w:pPr>
              <w:spacing w:after="0" w:line="240" w:lineRule="auto"/>
              <w:rPr>
                <w:rFonts w:ascii="Times New Roman" w:hAnsi="Times New Roman" w:eastAsia="Calibri" w:cs="Times New Roman"/>
                <w:b/>
                <w:color w:val="000000"/>
                <w:sz w:val="24"/>
                <w:szCs w:val="24"/>
                <w:lang w:val="zh-CN"/>
              </w:rPr>
            </w:pPr>
            <w:r>
              <w:rPr>
                <w:rFonts w:ascii="Times New Roman" w:hAnsi="Times New Roman" w:eastAsia="Calibri" w:cs="Times New Roman"/>
                <w:b/>
                <w:color w:val="000000"/>
                <w:sz w:val="24"/>
                <w:szCs w:val="24"/>
                <w:lang w:val="zh-CN"/>
              </w:rPr>
              <w:t xml:space="preserve">6. Avizarea și consultarea publică a proiectului actului normative - </w:t>
            </w:r>
            <w:r>
              <w:rPr>
                <w:rFonts w:ascii="Times New Roman" w:hAnsi="Times New Roman" w:eastAsia="Calibri" w:cs="Times New Roman"/>
                <w:color w:val="000000"/>
                <w:sz w:val="24"/>
                <w:szCs w:val="24"/>
                <w:lang w:val="zh-CN"/>
              </w:rPr>
              <w:t>este aplicabilă, întrucât proiectul a fost consultat cu APL de nivelul II , părnții și reprezentanți legali ai elevilor.</w:t>
            </w:r>
          </w:p>
        </w:tc>
      </w:tr>
      <w:tr w14:paraId="478C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3790C2C1">
            <w:pPr>
              <w:spacing w:after="0" w:line="240" w:lineRule="auto"/>
              <w:rPr>
                <w:rFonts w:ascii="Times New Roman" w:hAnsi="Times New Roman" w:eastAsia="Calibri" w:cs="Times New Roman"/>
                <w:b/>
                <w:color w:val="000000"/>
                <w:sz w:val="24"/>
                <w:szCs w:val="24"/>
                <w:lang w:val="zh-CN"/>
              </w:rPr>
            </w:pPr>
            <w:r>
              <w:rPr>
                <w:rFonts w:ascii="Times New Roman" w:hAnsi="Times New Roman" w:eastAsia="Calibri" w:cs="Times New Roman"/>
                <w:b/>
                <w:color w:val="000000"/>
                <w:sz w:val="24"/>
                <w:szCs w:val="24"/>
                <w:lang w:val="zh-CN"/>
              </w:rPr>
              <w:t xml:space="preserve">7. Concluziile expertizelor - </w:t>
            </w:r>
            <w:r>
              <w:rPr>
                <w:rFonts w:ascii="Times New Roman" w:hAnsi="Times New Roman" w:eastAsia="Calibri" w:cs="Times New Roman"/>
                <w:color w:val="000000"/>
                <w:sz w:val="24"/>
                <w:szCs w:val="24"/>
                <w:lang w:val="zh-CN"/>
              </w:rPr>
              <w:t>„Nu este aplicabil”.</w:t>
            </w:r>
          </w:p>
        </w:tc>
      </w:tr>
      <w:tr w14:paraId="0BD7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000" w:type="pct"/>
            <w:gridSpan w:val="2"/>
          </w:tcPr>
          <w:p w14:paraId="6684B317">
            <w:pPr>
              <w:tabs>
                <w:tab w:val="left" w:pos="884"/>
                <w:tab w:val="left" w:pos="1196"/>
              </w:tabs>
              <w:spacing w:after="0" w:line="240" w:lineRule="auto"/>
              <w:jc w:val="both"/>
              <w:rPr>
                <w:rFonts w:ascii="Times New Roman" w:hAnsi="Times New Roman" w:eastAsia="Times New Roman" w:cs="Times New Roman"/>
                <w:b/>
                <w:color w:val="000000"/>
                <w:sz w:val="24"/>
                <w:szCs w:val="24"/>
                <w:lang w:val="zh-CN"/>
              </w:rPr>
            </w:pPr>
            <w:r>
              <w:rPr>
                <w:rFonts w:ascii="Times New Roman" w:hAnsi="Times New Roman" w:eastAsia="Times New Roman" w:cs="Times New Roman"/>
                <w:b/>
                <w:color w:val="000000"/>
                <w:sz w:val="24"/>
                <w:szCs w:val="24"/>
                <w:lang w:val="zh-CN" w:eastAsia="ru-RU"/>
              </w:rPr>
              <w:t xml:space="preserve">8. Modul de încorporare a actului în cadrul normativ existent </w:t>
            </w:r>
          </w:p>
        </w:tc>
      </w:tr>
      <w:tr w14:paraId="25A5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00" w:type="pct"/>
            <w:gridSpan w:val="2"/>
          </w:tcPr>
          <w:p w14:paraId="64763396">
            <w:pPr>
              <w:tabs>
                <w:tab w:val="left" w:pos="884"/>
                <w:tab w:val="left" w:pos="1196"/>
              </w:tabs>
              <w:spacing w:after="0" w:line="240" w:lineRule="auto"/>
              <w:jc w:val="both"/>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Proiectul de decizie se încadrează în cadrul normativ existent și se emite în temeiul legislației în vigoare, fără a necesita modificarea sau abrogarea altor acte normative.</w:t>
            </w:r>
          </w:p>
        </w:tc>
      </w:tr>
      <w:tr w14:paraId="138D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6799D503">
            <w:pPr>
              <w:tabs>
                <w:tab w:val="left" w:pos="884"/>
                <w:tab w:val="left" w:pos="1196"/>
              </w:tabs>
              <w:spacing w:after="0" w:line="240" w:lineRule="auto"/>
              <w:jc w:val="both"/>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color w:val="000000"/>
                <w:sz w:val="24"/>
                <w:szCs w:val="24"/>
                <w:lang w:val="zh-CN" w:eastAsia="ru-RU"/>
              </w:rPr>
              <w:t xml:space="preserve">9. Măsurile necesare pentru implementarea prevederilor proiectului actului normativ - </w:t>
            </w:r>
            <w:r>
              <w:rPr>
                <w:rFonts w:ascii="Times New Roman" w:hAnsi="Times New Roman" w:eastAsia="Times New Roman" w:cs="Times New Roman"/>
                <w:color w:val="000000"/>
                <w:sz w:val="24"/>
                <w:szCs w:val="24"/>
                <w:lang w:val="zh-CN" w:eastAsia="ru-RU"/>
              </w:rPr>
              <w:t>„Nu este aplicabil”.</w:t>
            </w:r>
          </w:p>
        </w:tc>
      </w:tr>
      <w:tr w14:paraId="5590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nil"/>
              <w:left w:val="nil"/>
              <w:bottom w:val="nil"/>
              <w:right w:val="nil"/>
            </w:tcBorders>
          </w:tcPr>
          <w:p w14:paraId="428099A5">
            <w:pPr>
              <w:spacing w:after="0" w:line="240" w:lineRule="auto"/>
              <w:contextualSpacing/>
              <w:rPr>
                <w:rFonts w:ascii="Times New Roman" w:hAnsi="Times New Roman" w:eastAsia="Times New Roman" w:cs="Times New Roman"/>
                <w:sz w:val="24"/>
                <w:szCs w:val="24"/>
                <w:lang w:eastAsia="ru-RU"/>
              </w:rPr>
            </w:pPr>
          </w:p>
          <w:p w14:paraId="581DAE85">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eastAsia="ru-RU"/>
              </w:rPr>
              <w:t>Întocmit</w:t>
            </w:r>
          </w:p>
          <w:p w14:paraId="05BD0DBF">
            <w:pPr>
              <w:spacing w:after="0" w:line="240" w:lineRule="auto"/>
              <w:contextualSpacing/>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Șef Direcția Educație</w:t>
            </w:r>
          </w:p>
          <w:p w14:paraId="40C4FB4E">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val="it-IT" w:eastAsia="ru-RU"/>
              </w:rPr>
              <w:t>Nicolae MELINTE</w:t>
            </w:r>
          </w:p>
          <w:p w14:paraId="5FE9AB8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it-IT" w:eastAsia="ru-RU"/>
              </w:rPr>
              <w:t>_________________________</w:t>
            </w:r>
          </w:p>
        </w:tc>
        <w:tc>
          <w:tcPr>
            <w:tcW w:w="2500" w:type="pct"/>
            <w:tcBorders>
              <w:top w:val="nil"/>
              <w:left w:val="nil"/>
              <w:bottom w:val="nil"/>
              <w:right w:val="nil"/>
            </w:tcBorders>
          </w:tcPr>
          <w:p w14:paraId="22669C8F">
            <w:pPr>
              <w:spacing w:after="0" w:line="240" w:lineRule="auto"/>
              <w:rPr>
                <w:rFonts w:ascii="Times New Roman" w:hAnsi="Times New Roman" w:eastAsia="Times New Roman" w:cs="Times New Roman"/>
                <w:sz w:val="24"/>
                <w:szCs w:val="24"/>
                <w:lang w:eastAsia="ru-RU"/>
              </w:rPr>
            </w:pPr>
          </w:p>
        </w:tc>
      </w:tr>
    </w:tbl>
    <w:p w14:paraId="323EFC94">
      <w:pPr>
        <w:rPr>
          <w:rFonts w:ascii="Times New Roman" w:hAnsi="Times New Roman" w:cs="Times New Roman"/>
          <w:sz w:val="24"/>
          <w:szCs w:val="24"/>
        </w:rPr>
      </w:pPr>
    </w:p>
    <w:p w14:paraId="356C7A48">
      <w:pPr>
        <w:rPr>
          <w:rFonts w:ascii="Times New Roman" w:hAnsi="Times New Roman" w:cs="Times New Roman"/>
          <w:sz w:val="24"/>
          <w:szCs w:val="24"/>
        </w:rPr>
      </w:pPr>
      <w:r>
        <w:rPr>
          <w:rFonts w:ascii="Times New Roman" w:hAnsi="Times New Roman" w:cs="Times New Roman"/>
          <w:sz w:val="24"/>
          <w:szCs w:val="24"/>
        </w:rPr>
        <w:br w:type="page"/>
      </w:r>
    </w:p>
    <w:tbl>
      <w:tblPr>
        <w:tblStyle w:val="3"/>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655"/>
        <w:gridCol w:w="1619"/>
      </w:tblGrid>
      <w:tr w14:paraId="15ED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701" w:type="dxa"/>
            <w:tcBorders>
              <w:top w:val="nil"/>
              <w:left w:val="nil"/>
              <w:bottom w:val="single" w:color="auto" w:sz="4" w:space="0"/>
              <w:right w:val="nil"/>
            </w:tcBorders>
          </w:tcPr>
          <w:p w14:paraId="1D9BDEB2">
            <w:pPr>
              <w:spacing w:after="200" w:line="276" w:lineRule="auto"/>
              <w:contextualSpacing/>
              <w:rPr>
                <w:rFonts w:ascii="Times New Roman" w:hAnsi="Times New Roman" w:eastAsia="Times New Roman" w:cs="Times New Roman"/>
                <w:b/>
                <w:sz w:val="28"/>
                <w:szCs w:val="24"/>
              </w:rPr>
            </w:pPr>
          </w:p>
          <w:p w14:paraId="7FBB1186">
            <w:pPr>
              <w:spacing w:after="200" w:line="276" w:lineRule="auto"/>
              <w:contextualSpacing/>
              <w:rPr>
                <w:rFonts w:ascii="Times New Roman" w:hAnsi="Times New Roman" w:cs="Times New Roman" w:eastAsiaTheme="minorEastAsia"/>
              </w:rPr>
            </w:pPr>
            <w:r>
              <w:rPr>
                <w:rFonts w:eastAsiaTheme="minorEastAsia"/>
                <w:lang w:val="ru-RU" w:eastAsia="ru-RU"/>
              </w:rPr>
              <w:drawing>
                <wp:anchor distT="0" distB="0" distL="114300" distR="114300" simplePos="0" relativeHeight="251661312" behindDoc="0" locked="0" layoutInCell="1" allowOverlap="0">
                  <wp:simplePos x="0" y="0"/>
                  <wp:positionH relativeFrom="margin">
                    <wp:posOffset>116205</wp:posOffset>
                  </wp:positionH>
                  <wp:positionV relativeFrom="margin">
                    <wp:posOffset>224790</wp:posOffset>
                  </wp:positionV>
                  <wp:extent cx="569595" cy="689610"/>
                  <wp:effectExtent l="19050" t="0" r="1905" b="0"/>
                  <wp:wrapNone/>
                  <wp:docPr id="991713589" name="Рисунок 9917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3589" name="Рисунок 991713589"/>
                          <pic:cNvPicPr>
                            <a:picLocks noChangeAspect="1" noChangeArrowheads="1"/>
                          </pic:cNvPicPr>
                        </pic:nvPicPr>
                        <pic:blipFill>
                          <a:blip r:embed="rId6"/>
                          <a:srcRect/>
                          <a:stretch>
                            <a:fillRect/>
                          </a:stretch>
                        </pic:blipFill>
                        <pic:spPr>
                          <a:xfrm>
                            <a:off x="0" y="0"/>
                            <a:ext cx="569595" cy="689610"/>
                          </a:xfrm>
                          <a:prstGeom prst="rect">
                            <a:avLst/>
                          </a:prstGeom>
                          <a:noFill/>
                        </pic:spPr>
                      </pic:pic>
                    </a:graphicData>
                  </a:graphic>
                </wp:anchor>
              </w:drawing>
            </w:r>
          </w:p>
        </w:tc>
        <w:tc>
          <w:tcPr>
            <w:tcW w:w="6655" w:type="dxa"/>
            <w:tcBorders>
              <w:top w:val="nil"/>
              <w:left w:val="nil"/>
              <w:bottom w:val="single" w:color="auto" w:sz="4" w:space="0"/>
              <w:right w:val="nil"/>
            </w:tcBorders>
          </w:tcPr>
          <w:p w14:paraId="469C5118">
            <w:pPr>
              <w:spacing w:after="200" w:line="276" w:lineRule="auto"/>
              <w:contextualSpacing/>
              <w:rPr>
                <w:rFonts w:ascii="Times New Roman" w:hAnsi="Times New Roman" w:eastAsia="Times New Roman" w:cs="Times New Roman"/>
                <w:sz w:val="24"/>
                <w:szCs w:val="24"/>
              </w:rPr>
            </w:pPr>
          </w:p>
          <w:p w14:paraId="75DFD2AB">
            <w:pPr>
              <w:keepNext/>
              <w:spacing w:after="0" w:line="276" w:lineRule="auto"/>
              <w:contextualSpacing/>
              <w:jc w:val="center"/>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sz w:val="24"/>
                <w:szCs w:val="24"/>
                <w:lang w:val="it-IT"/>
              </w:rPr>
              <w:t>REPUBLICA  MOLDOVA</w:t>
            </w:r>
          </w:p>
          <w:p w14:paraId="26A1D8DE">
            <w:pPr>
              <w:keepNext/>
              <w:spacing w:after="0" w:line="276" w:lineRule="auto"/>
              <w:contextualSpacing/>
              <w:outlineLvl w:val="0"/>
              <w:rPr>
                <w:rFonts w:ascii="Times New Roman" w:hAnsi="Times New Roman" w:cs="Times New Roman" w:eastAsiaTheme="minorEastAsia"/>
                <w:b/>
              </w:rPr>
            </w:pPr>
            <w:r>
              <w:rPr>
                <w:rFonts w:ascii="Times New Roman" w:hAnsi="Times New Roman" w:cs="Times New Roman" w:eastAsiaTheme="minorEastAsia"/>
                <w:b/>
                <w:sz w:val="24"/>
                <w:szCs w:val="24"/>
                <w:lang w:val="it-IT"/>
              </w:rPr>
              <w:t xml:space="preserve">                     CONSILIUL  RAIONAL  </w:t>
            </w:r>
            <w:r>
              <w:rPr>
                <w:rFonts w:ascii="Times New Roman" w:hAnsi="Times New Roman" w:cs="Times New Roman" w:eastAsiaTheme="minorEastAsia"/>
                <w:b/>
                <w:lang w:val="it-IT"/>
              </w:rPr>
              <w:t>S</w:t>
            </w:r>
            <w:r>
              <w:rPr>
                <w:rFonts w:ascii="Times New Roman" w:hAnsi="Times New Roman" w:cs="Times New Roman" w:eastAsiaTheme="minorEastAsia"/>
                <w:b/>
              </w:rPr>
              <w:t>ÎNGEREI</w:t>
            </w:r>
          </w:p>
          <w:p w14:paraId="2A09821C">
            <w:pPr>
              <w:keepNext/>
              <w:spacing w:after="0" w:line="276" w:lineRule="auto"/>
              <w:contextualSpacing/>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rPr>
              <w:t xml:space="preserve">                              PREȘEDINTELE  RAIONULUI</w:t>
            </w:r>
          </w:p>
          <w:p w14:paraId="49D12E42">
            <w:pPr>
              <w:spacing w:after="200" w:line="276" w:lineRule="auto"/>
              <w:contextualSpacing/>
              <w:jc w:val="center"/>
              <w:rPr>
                <w:rFonts w:ascii="Times New Roman" w:hAnsi="Times New Roman" w:cs="Times New Roman" w:eastAsiaTheme="minorEastAsia"/>
                <w:sz w:val="24"/>
                <w:szCs w:val="24"/>
                <w:lang w:val="it-IT"/>
              </w:rPr>
            </w:pPr>
          </w:p>
        </w:tc>
        <w:tc>
          <w:tcPr>
            <w:tcW w:w="1619" w:type="dxa"/>
            <w:tcBorders>
              <w:top w:val="nil"/>
              <w:left w:val="nil"/>
              <w:bottom w:val="single" w:color="auto" w:sz="4" w:space="0"/>
              <w:right w:val="nil"/>
            </w:tcBorders>
          </w:tcPr>
          <w:p w14:paraId="78E87BC1">
            <w:pPr>
              <w:spacing w:after="200" w:line="276" w:lineRule="auto"/>
              <w:contextualSpacing/>
              <w:jc w:val="center"/>
              <w:rPr>
                <w:rFonts w:ascii="Times New Roman" w:hAnsi="Times New Roman" w:eastAsia="Times New Roman" w:cs="Times New Roman"/>
                <w:sz w:val="24"/>
                <w:szCs w:val="24"/>
                <w:lang w:val="it-IT"/>
              </w:rPr>
            </w:pPr>
            <w:r>
              <w:rPr>
                <w:rFonts w:eastAsiaTheme="minorEastAsia"/>
                <w:lang w:val="ru-RU" w:eastAsia="ru-RU"/>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645908929" name="Рисунок 64590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929" name="Рисунок 645908929"/>
                          <pic:cNvPicPr>
                            <a:picLocks noChangeAspect="1" noChangeArrowheads="1"/>
                          </pic:cNvPicPr>
                        </pic:nvPicPr>
                        <pic:blipFill>
                          <a:blip r:embed="rId7"/>
                          <a:srcRect/>
                          <a:stretch>
                            <a:fillRect/>
                          </a:stretch>
                        </pic:blipFill>
                        <pic:spPr>
                          <a:xfrm>
                            <a:off x="0" y="0"/>
                            <a:ext cx="687070" cy="866140"/>
                          </a:xfrm>
                          <a:prstGeom prst="rect">
                            <a:avLst/>
                          </a:prstGeom>
                          <a:noFill/>
                        </pic:spPr>
                      </pic:pic>
                    </a:graphicData>
                  </a:graphic>
                </wp:anchor>
              </w:drawing>
            </w:r>
          </w:p>
          <w:p w14:paraId="09E09CE5">
            <w:pPr>
              <w:spacing w:after="200" w:line="276" w:lineRule="auto"/>
              <w:contextualSpacing/>
              <w:jc w:val="center"/>
              <w:rPr>
                <w:rFonts w:ascii="Times New Roman" w:hAnsi="Times New Roman" w:cs="Times New Roman" w:eastAsiaTheme="minorEastAsia"/>
                <w:b/>
                <w:sz w:val="18"/>
                <w:szCs w:val="18"/>
              </w:rPr>
            </w:pPr>
            <w:r>
              <w:rPr>
                <w:rFonts w:ascii="Times New Roman" w:hAnsi="Times New Roman" w:cs="Times New Roman" w:eastAsiaTheme="minorEastAsia"/>
                <w:b/>
                <w:sz w:val="20"/>
                <w:szCs w:val="20"/>
                <w:lang w:val="ru-RU" w:eastAsia="ru-RU"/>
              </w:rPr>
              <w:drawing>
                <wp:inline distT="0" distB="0" distL="0" distR="0">
                  <wp:extent cx="495935" cy="632460"/>
                  <wp:effectExtent l="19050" t="0" r="0" b="0"/>
                  <wp:docPr id="1170333117" name="Рисунок 117033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33117" name="Рисунок 1170333117"/>
                          <pic:cNvPicPr>
                            <a:picLocks noChangeAspect="1" noChangeArrowheads="1"/>
                          </pic:cNvPicPr>
                        </pic:nvPicPr>
                        <pic:blipFill>
                          <a:blip r:embed="rId9"/>
                          <a:srcRect/>
                          <a:stretch>
                            <a:fillRect/>
                          </a:stretch>
                        </pic:blipFill>
                        <pic:spPr>
                          <a:xfrm>
                            <a:off x="0" y="0"/>
                            <a:ext cx="495935" cy="632460"/>
                          </a:xfrm>
                          <a:prstGeom prst="rect">
                            <a:avLst/>
                          </a:prstGeom>
                          <a:noFill/>
                          <a:ln w="9525">
                            <a:noFill/>
                            <a:miter lim="800000"/>
                            <a:headEnd/>
                            <a:tailEnd/>
                          </a:ln>
                        </pic:spPr>
                      </pic:pic>
                    </a:graphicData>
                  </a:graphic>
                </wp:inline>
              </w:drawing>
            </w:r>
          </w:p>
          <w:p w14:paraId="08EFA163">
            <w:pPr>
              <w:spacing w:after="200" w:line="276" w:lineRule="auto"/>
              <w:contextualSpacing/>
              <w:rPr>
                <w:rFonts w:ascii="Times New Roman" w:hAnsi="Times New Roman" w:cs="Times New Roman" w:eastAsiaTheme="minorEastAsia"/>
                <w:sz w:val="18"/>
                <w:szCs w:val="18"/>
              </w:rPr>
            </w:pPr>
          </w:p>
          <w:p w14:paraId="6C0EFC2C">
            <w:pPr>
              <w:spacing w:after="200" w:line="276" w:lineRule="auto"/>
              <w:contextualSpacing/>
              <w:jc w:val="right"/>
              <w:rPr>
                <w:rFonts w:ascii="Times New Roman" w:hAnsi="Times New Roman" w:cs="Times New Roman" w:eastAsiaTheme="minorEastAsia"/>
                <w:sz w:val="18"/>
                <w:szCs w:val="18"/>
              </w:rPr>
            </w:pPr>
          </w:p>
        </w:tc>
      </w:tr>
      <w:tr w14:paraId="06CF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75" w:type="dxa"/>
            <w:gridSpan w:val="3"/>
            <w:tcBorders>
              <w:top w:val="single" w:color="auto" w:sz="4" w:space="0"/>
              <w:left w:val="nil"/>
              <w:bottom w:val="thinThickSmallGap" w:color="auto" w:sz="24" w:space="0"/>
              <w:right w:val="nil"/>
            </w:tcBorders>
          </w:tcPr>
          <w:p w14:paraId="45025DA7">
            <w:pPr>
              <w:spacing w:after="200" w:line="276" w:lineRule="auto"/>
              <w:contextualSpacing/>
              <w:rPr>
                <w:rFonts w:ascii="Times New Roman" w:hAnsi="Times New Roman" w:cs="Times New Roman" w:eastAsiaTheme="minorEastAsia"/>
                <w:b/>
                <w:sz w:val="24"/>
                <w:szCs w:val="24"/>
              </w:rPr>
            </w:pPr>
            <w:r>
              <w:rPr>
                <w:rFonts w:ascii="Times New Roman" w:hAnsi="Times New Roman" w:cs="Times New Roman" w:eastAsiaTheme="minorEastAsia"/>
                <w:b/>
              </w:rPr>
              <w:t>Direcția Educație</w:t>
            </w:r>
          </w:p>
        </w:tc>
      </w:tr>
    </w:tbl>
    <w:p w14:paraId="6503304A">
      <w:pPr>
        <w:spacing w:after="0" w:line="240" w:lineRule="auto"/>
        <w:rPr>
          <w:rFonts w:ascii="Times New Roman" w:hAnsi="Times New Roman" w:cs="Times New Roman" w:eastAsiaTheme="minorEastAsia"/>
          <w:b/>
          <w:sz w:val="24"/>
        </w:rPr>
      </w:pPr>
    </w:p>
    <w:p w14:paraId="466069A3">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val="de-DE" w:eastAsia="ru-RU"/>
        </w:rPr>
        <w:t>PROIECT DE  DECIZIE nr. ______</w:t>
      </w:r>
    </w:p>
    <w:p w14:paraId="7BC17B7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din ,,_____„ _________________ 2026 </w:t>
      </w:r>
    </w:p>
    <w:p w14:paraId="339B8EE6">
      <w:pPr>
        <w:spacing w:after="0" w:line="276" w:lineRule="auto"/>
        <w:rPr>
          <w:rFonts w:ascii="Times New Roman" w:hAnsi="Times New Roman" w:eastAsia="Times New Roman" w:cs="Times New Roman"/>
          <w:b/>
          <w:bCs/>
          <w:sz w:val="24"/>
          <w:szCs w:val="24"/>
          <w:lang w:eastAsia="ru-RU"/>
        </w:rPr>
      </w:pPr>
    </w:p>
    <w:p w14:paraId="23F46314">
      <w:pPr>
        <w:spacing w:after="0" w:line="276"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Cu privire la reorganizarea prin transformare </w:t>
      </w:r>
    </w:p>
    <w:p w14:paraId="05426608">
      <w:pPr>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a Gimnaziului „Mihailovca”, s. Mihailovca, </w:t>
      </w:r>
      <w:r>
        <w:rPr>
          <w:rFonts w:ascii="Times New Roman" w:hAnsi="Times New Roman" w:cs="Times New Roman"/>
          <w:b/>
          <w:sz w:val="24"/>
        </w:rPr>
        <w:t>com. Prepelița,</w:t>
      </w:r>
      <w:r>
        <w:rPr>
          <w:rFonts w:ascii="Times New Roman" w:hAnsi="Times New Roman" w:eastAsia="Times New Roman" w:cs="Times New Roman"/>
          <w:b/>
          <w:bCs/>
          <w:sz w:val="28"/>
          <w:szCs w:val="24"/>
          <w:lang w:eastAsia="ru-RU"/>
        </w:rPr>
        <w:t xml:space="preserve"> </w:t>
      </w:r>
      <w:r>
        <w:rPr>
          <w:rFonts w:ascii="Times New Roman" w:hAnsi="Times New Roman" w:eastAsia="Times New Roman" w:cs="Times New Roman"/>
          <w:b/>
          <w:bCs/>
          <w:sz w:val="24"/>
          <w:szCs w:val="24"/>
          <w:lang w:eastAsia="ru-RU"/>
        </w:rPr>
        <w:t>r-nul Sîngerei</w:t>
      </w:r>
    </w:p>
    <w:p w14:paraId="2F044F6E">
      <w:pPr>
        <w:spacing w:after="0" w:line="276" w:lineRule="auto"/>
        <w:ind w:firstLine="567"/>
        <w:jc w:val="both"/>
        <w:rPr>
          <w:rFonts w:ascii="Times New Roman" w:hAnsi="Times New Roman" w:eastAsia="Times New Roman" w:cs="Times New Roman"/>
          <w:sz w:val="24"/>
          <w:szCs w:val="24"/>
          <w:lang w:eastAsia="ru-RU"/>
        </w:rPr>
      </w:pPr>
    </w:p>
    <w:p w14:paraId="5F50E818">
      <w:pPr>
        <w:spacing w:after="0" w:line="276"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Având în vedere: Nota de fundamentare „Cu privire la reorganizarea prin transformare a Instituției Publice Gimnaziul „Mihailovca”, s. Mihailovca, </w:t>
      </w:r>
      <w:r>
        <w:rPr>
          <w:rFonts w:ascii="Times New Roman" w:hAnsi="Times New Roman" w:cs="Times New Roman"/>
          <w:sz w:val="24"/>
        </w:rPr>
        <w:t>com. Prepelița,</w:t>
      </w:r>
      <w:r>
        <w:rPr>
          <w:rFonts w:ascii="Times New Roman" w:hAnsi="Times New Roman" w:eastAsia="Times New Roman" w:cs="Times New Roman"/>
          <w:sz w:val="28"/>
          <w:szCs w:val="24"/>
          <w:lang w:eastAsia="ru-RU"/>
        </w:rPr>
        <w:t xml:space="preserve"> </w:t>
      </w:r>
      <w:r>
        <w:rPr>
          <w:rFonts w:ascii="Times New Roman" w:hAnsi="Times New Roman" w:eastAsia="Times New Roman" w:cs="Times New Roman"/>
          <w:sz w:val="24"/>
          <w:szCs w:val="24"/>
          <w:lang w:eastAsia="ru-RU"/>
        </w:rPr>
        <w:t>r-nul Sîngerei”;</w:t>
      </w:r>
    </w:p>
    <w:p w14:paraId="3DE4BA7C">
      <w:pPr>
        <w:spacing w:after="0" w:line="276" w:lineRule="auto"/>
        <w:ind w:firstLine="567"/>
        <w:jc w:val="both"/>
        <w:rPr>
          <w:rFonts w:hint="default"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eastAsia="ru-RU"/>
        </w:rPr>
        <w:t>În temeiu</w:t>
      </w:r>
      <w:r>
        <w:rPr>
          <w:rFonts w:hint="default" w:ascii="Times New Roman" w:hAnsi="Times New Roman" w:eastAsia="Times New Roman" w:cs="Times New Roman"/>
          <w:sz w:val="24"/>
          <w:szCs w:val="24"/>
          <w:lang w:eastAsia="ru-RU"/>
        </w:rPr>
        <w:t xml:space="preserve">l </w:t>
      </w:r>
      <w:r>
        <w:rPr>
          <w:rFonts w:hint="default" w:ascii="Times New Roman" w:hAnsi="Times New Roman" w:cs="Times New Roman"/>
          <w:sz w:val="24"/>
          <w:szCs w:val="24"/>
          <w:lang w:val="zh-CN"/>
        </w:rPr>
        <w:t>art. 43 alin. (2) al Legii privind administrația publică locală nr. 436/2006, art. 21 alin. (1), art. 141 alin. (1) lit. j)</w:t>
      </w:r>
      <w:r>
        <w:rPr>
          <w:rFonts w:hint="default" w:ascii="Times New Roman" w:hAnsi="Times New Roman" w:cs="Times New Roman"/>
          <w:sz w:val="24"/>
          <w:szCs w:val="24"/>
          <w:lang w:val="ro-RO"/>
        </w:rPr>
        <w:t>, art. 145</w:t>
      </w:r>
      <w:r>
        <w:rPr>
          <w:rFonts w:hint="default" w:ascii="Times New Roman" w:hAnsi="Times New Roman" w:cs="Times New Roman"/>
          <w:sz w:val="24"/>
          <w:szCs w:val="24"/>
          <w:vertAlign w:val="superscript"/>
          <w:lang w:val="ro-RO"/>
        </w:rPr>
        <w:t xml:space="preserve">1 </w:t>
      </w:r>
      <w:r>
        <w:rPr>
          <w:rFonts w:hint="default" w:ascii="Times New Roman" w:hAnsi="Times New Roman" w:cs="Times New Roman"/>
          <w:sz w:val="24"/>
          <w:szCs w:val="24"/>
          <w:vertAlign w:val="baseline"/>
          <w:lang w:val="ro-RO"/>
        </w:rPr>
        <w:t>alin. (13)</w:t>
      </w:r>
      <w:r>
        <w:rPr>
          <w:rFonts w:hint="default" w:ascii="Times New Roman" w:hAnsi="Times New Roman" w:cs="Times New Roman"/>
          <w:sz w:val="24"/>
          <w:szCs w:val="24"/>
          <w:lang w:val="zh-CN"/>
        </w:rPr>
        <w:t xml:space="preserve"> din Codul Educației al Republicii Moldova nr. 152/2014, art. 88, art. 88</w:t>
      </w:r>
      <w:r>
        <w:rPr>
          <w:rFonts w:hint="default" w:ascii="Times New Roman" w:hAnsi="Times New Roman" w:cs="Times New Roman"/>
          <w:sz w:val="24"/>
          <w:szCs w:val="24"/>
          <w:vertAlign w:val="superscript"/>
          <w:lang w:val="zh-CN"/>
        </w:rPr>
        <w:t>1</w:t>
      </w:r>
      <w:r>
        <w:rPr>
          <w:rFonts w:hint="default" w:ascii="Times New Roman" w:hAnsi="Times New Roman" w:cs="Times New Roman"/>
          <w:sz w:val="24"/>
          <w:szCs w:val="24"/>
          <w:lang w:val="zh-CN"/>
        </w:rPr>
        <w:t xml:space="preserve"> și art. 184 alin. (1) lit. a) din Codul Muncii al Republicii Moldova nr. 154/2003, Codul Civil al Republicii Moldova nr. 1107/2002</w:t>
      </w:r>
      <w:r>
        <w:rPr>
          <w:rFonts w:hint="default" w:ascii="Times New Roman" w:hAnsi="Times New Roman" w:cs="Times New Roman"/>
          <w:sz w:val="24"/>
          <w:szCs w:val="24"/>
          <w:lang w:val="ro-RO"/>
        </w:rPr>
        <w:t>,</w:t>
      </w:r>
      <w:bookmarkStart w:id="0" w:name="_GoBack"/>
      <w:bookmarkEnd w:id="0"/>
    </w:p>
    <w:p w14:paraId="0AD2F1C1">
      <w:pPr>
        <w:spacing w:after="0" w:line="276" w:lineRule="auto"/>
        <w:ind w:firstLine="567"/>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Consiliul raional Sîngerei,</w:t>
      </w:r>
    </w:p>
    <w:p w14:paraId="59913042">
      <w:pPr>
        <w:spacing w:after="0" w:line="27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D E C I D E:</w:t>
      </w:r>
    </w:p>
    <w:p w14:paraId="31F54831">
      <w:pPr>
        <w:numPr>
          <w:ilvl w:val="0"/>
          <w:numId w:val="1"/>
        </w:numPr>
        <w:tabs>
          <w:tab w:val="left" w:pos="360"/>
          <w:tab w:val="left" w:pos="709"/>
          <w:tab w:val="left" w:pos="851"/>
          <w:tab w:val="clear" w:pos="720"/>
        </w:tabs>
        <w:spacing w:after="0" w:line="276"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Se aprobă reorganizarea prin transformare a Gimnaziului „Mihailovca”, s. Mihailovca, </w:t>
      </w:r>
      <w:r>
        <w:rPr>
          <w:rFonts w:ascii="Times New Roman" w:hAnsi="Times New Roman" w:cs="Times New Roman"/>
          <w:sz w:val="24"/>
        </w:rPr>
        <w:t>com. Prepelița</w:t>
      </w:r>
      <w:r>
        <w:rPr>
          <w:rFonts w:ascii="Times New Roman" w:hAnsi="Times New Roman" w:eastAsia="Times New Roman" w:cs="Times New Roman"/>
          <w:sz w:val="24"/>
          <w:szCs w:val="24"/>
          <w:lang w:eastAsia="ru-RU"/>
        </w:rPr>
        <w:t xml:space="preserve">, r-nul Sîngerei, în Instituție Publică Școală Primară-Grădiniță „Mihailovca”, s. Mihailovca, </w:t>
      </w:r>
      <w:r>
        <w:rPr>
          <w:rFonts w:ascii="Times New Roman" w:hAnsi="Times New Roman" w:cs="Times New Roman"/>
          <w:sz w:val="24"/>
        </w:rPr>
        <w:t>com. Prepelița</w:t>
      </w:r>
      <w:r>
        <w:rPr>
          <w:rFonts w:ascii="Times New Roman" w:hAnsi="Times New Roman" w:eastAsia="Times New Roman" w:cs="Times New Roman"/>
          <w:sz w:val="24"/>
          <w:szCs w:val="24"/>
          <w:lang w:eastAsia="ru-RU"/>
        </w:rPr>
        <w:t xml:space="preserve">, r-nul Sîngerei, începând cu data de 1 septembrie 2026. </w:t>
      </w:r>
    </w:p>
    <w:p w14:paraId="29DF4F14">
      <w:pPr>
        <w:numPr>
          <w:ilvl w:val="0"/>
          <w:numId w:val="1"/>
        </w:numPr>
        <w:tabs>
          <w:tab w:val="left" w:pos="360"/>
          <w:tab w:val="left" w:pos="709"/>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 xml:space="preserve">Se aprobă excluderea ciclului de învățământ gimnazial (clasele V-IX) din structura instituției, ca urmare a înregistrării unui număr redus de elevi stabilit de art. 145¹ alin. </w:t>
      </w:r>
      <w:r>
        <w:rPr>
          <w:rFonts w:ascii="Times New Roman" w:hAnsi="Times New Roman" w:eastAsia="Times New Roman" w:cs="Times New Roman"/>
          <w:sz w:val="24"/>
          <w:szCs w:val="24"/>
          <w:lang w:val="ru-RU" w:eastAsia="ru-RU"/>
        </w:rPr>
        <w:t xml:space="preserve">(2) din Codul Educației nr. 152/2014. </w:t>
      </w:r>
    </w:p>
    <w:p w14:paraId="76E96C7B">
      <w:pPr>
        <w:numPr>
          <w:ilvl w:val="0"/>
          <w:numId w:val="1"/>
        </w:numPr>
        <w:tabs>
          <w:tab w:val="left" w:pos="360"/>
          <w:tab w:val="left" w:pos="709"/>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 xml:space="preserve">Instituția Publică Școală Primară-Grădiniță </w:t>
      </w:r>
      <w:r>
        <w:rPr>
          <w:rFonts w:ascii="Times New Roman" w:hAnsi="Times New Roman" w:eastAsia="Times New Roman" w:cs="Times New Roman"/>
          <w:sz w:val="24"/>
          <w:szCs w:val="24"/>
          <w:lang w:val="ro-RO" w:eastAsia="ru-RU"/>
        </w:rPr>
        <w:t>„</w:t>
      </w:r>
      <w:r>
        <w:rPr>
          <w:rFonts w:ascii="Times New Roman" w:hAnsi="Times New Roman" w:eastAsia="Times New Roman" w:cs="Times New Roman"/>
          <w:sz w:val="24"/>
          <w:szCs w:val="24"/>
          <w:lang w:val="ru-RU" w:eastAsia="ru-RU"/>
        </w:rPr>
        <w:t>Mihailovca</w:t>
      </w:r>
      <w:r>
        <w:rPr>
          <w:rFonts w:ascii="Times New Roman" w:hAnsi="Times New Roman" w:eastAsia="Times New Roman" w:cs="Times New Roman"/>
          <w:sz w:val="24"/>
          <w:szCs w:val="24"/>
          <w:lang w:val="ro-RO" w:eastAsia="ru-RU"/>
        </w:rPr>
        <w:t>”</w:t>
      </w:r>
      <w:r>
        <w:rPr>
          <w:rFonts w:ascii="Times New Roman" w:hAnsi="Times New Roman" w:eastAsia="Times New Roman" w:cs="Times New Roman"/>
          <w:sz w:val="24"/>
          <w:szCs w:val="24"/>
          <w:lang w:val="ru-RU" w:eastAsia="ru-RU"/>
        </w:rPr>
        <w:t xml:space="preserve">, s. Mihailovca, </w:t>
      </w:r>
      <w:r>
        <w:rPr>
          <w:rFonts w:ascii="Times New Roman" w:hAnsi="Times New Roman" w:cs="Times New Roman"/>
          <w:sz w:val="24"/>
        </w:rPr>
        <w:t>com</w:t>
      </w:r>
      <w:r>
        <w:rPr>
          <w:rFonts w:ascii="Times New Roman" w:hAnsi="Times New Roman" w:cs="Times New Roman"/>
          <w:sz w:val="24"/>
          <w:lang w:val="ru-RU"/>
        </w:rPr>
        <w:t xml:space="preserve">. </w:t>
      </w:r>
      <w:r>
        <w:rPr>
          <w:rFonts w:ascii="Times New Roman" w:hAnsi="Times New Roman" w:cs="Times New Roman"/>
          <w:sz w:val="24"/>
        </w:rPr>
        <w:t>Prepelița</w:t>
      </w:r>
      <w:r>
        <w:rPr>
          <w:rFonts w:ascii="Times New Roman" w:hAnsi="Times New Roman" w:eastAsia="Times New Roman" w:cs="Times New Roman"/>
          <w:sz w:val="24"/>
          <w:szCs w:val="24"/>
          <w:lang w:eastAsia="ru-RU"/>
        </w:rPr>
        <w:t xml:space="preserve">, r-nul Sîngerei preia în totalitate drepturile și obligațiile entității reorganizate, fiind succesorul de drept al acesteia. </w:t>
      </w:r>
    </w:p>
    <w:p w14:paraId="7CD0C2BA">
      <w:pPr>
        <w:numPr>
          <w:ilvl w:val="0"/>
          <w:numId w:val="1"/>
        </w:numPr>
        <w:tabs>
          <w:tab w:val="left" w:pos="360"/>
          <w:tab w:val="left" w:pos="709"/>
          <w:tab w:val="left" w:pos="851"/>
          <w:tab w:val="clear" w:pos="720"/>
        </w:tabs>
        <w:spacing w:after="0" w:line="276"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Administrația instituției, în colaborare cu Direcția Educație, va asigura:</w:t>
      </w:r>
    </w:p>
    <w:p w14:paraId="73F3B00E">
      <w:pPr>
        <w:tabs>
          <w:tab w:val="left" w:pos="709"/>
          <w:tab w:val="left" w:pos="851"/>
        </w:tabs>
        <w:spacing w:after="0" w:line="276"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4.1 transferul elevilor din ciclul gimnazial către instituția de învățământ primitoare Instituția Publică Gimnaziul „Dimitrie Cantemir” din or. Sîngerei, r-nul Sîngerei, cu asigurarea transportării gratuite a acestora; </w:t>
      </w:r>
    </w:p>
    <w:p w14:paraId="66B5EF36">
      <w:pPr>
        <w:tabs>
          <w:tab w:val="left" w:pos="360"/>
          <w:tab w:val="left" w:pos="709"/>
          <w:tab w:val="left" w:pos="851"/>
        </w:tabs>
        <w:spacing w:after="0" w:line="276"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 notificarea personalului didactic și nedidactic privind modificarea condițiilor de muncă sau, după caz, încetarea raporturilor de muncă conform legislației în vigoare;</w:t>
      </w:r>
    </w:p>
    <w:p w14:paraId="6CA6DAA2">
      <w:pPr>
        <w:tabs>
          <w:tab w:val="left" w:pos="360"/>
          <w:tab w:val="left" w:pos="709"/>
          <w:tab w:val="left" w:pos="851"/>
        </w:tabs>
        <w:spacing w:after="0" w:line="276"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 operarea modificărilor corespunzătoare în Statutul instituției și înregistrarea acestora la IP Agenția Servicii Publice.</w:t>
      </w:r>
    </w:p>
    <w:p w14:paraId="581E67E5">
      <w:pPr>
        <w:numPr>
          <w:ilvl w:val="0"/>
          <w:numId w:val="2"/>
        </w:numPr>
        <w:tabs>
          <w:tab w:val="left" w:pos="851"/>
        </w:tabs>
        <w:spacing w:after="0" w:line="276" w:lineRule="auto"/>
        <w:ind w:left="0"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Responsabilitatea pentru asigurarea realizării prezentei decizii se atribuie Direcției Educație (dl. Nicolae Melinte) și vicepreședintei raionului (dna Vera SERBUȘCA). </w:t>
      </w:r>
    </w:p>
    <w:p w14:paraId="21849D87">
      <w:pPr>
        <w:numPr>
          <w:ilvl w:val="0"/>
          <w:numId w:val="2"/>
        </w:numPr>
        <w:tabs>
          <w:tab w:val="left" w:pos="851"/>
        </w:tabs>
        <w:spacing w:before="100" w:beforeAutospacing="1" w:after="100" w:afterAutospacing="1" w:line="276"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Controlul asupra executării prezentei decizii se pune în sarcina Comisiei consultative pentru învățământ, cultură, sport, tineret, ocrotirea sănătății, probleme sociale, turism şi culte, în persoana președintelui acesteia, dna Alina TABARCEA. </w:t>
      </w:r>
    </w:p>
    <w:p w14:paraId="779BF5A4">
      <w:pPr>
        <w:numPr>
          <w:ilvl w:val="0"/>
          <w:numId w:val="2"/>
        </w:numPr>
        <w:tabs>
          <w:tab w:val="left" w:pos="851"/>
        </w:tabs>
        <w:spacing w:before="100" w:beforeAutospacing="1" w:after="100" w:afterAutospacing="1" w:line="276"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Prezenta decizie poate fi contestată la Judecătoria Bălți (cu sediul în mun. Bălți, str. Hotinului nr. 43), în termen de 30 de zile de la data publicării, în conformitate cu prevederile Codului administrativ al Republicii Moldova nr. 116/2018. </w:t>
      </w:r>
    </w:p>
    <w:p w14:paraId="2CE84FD7">
      <w:pPr>
        <w:tabs>
          <w:tab w:val="left" w:pos="930"/>
        </w:tabs>
        <w:spacing w:after="0" w:line="276" w:lineRule="auto"/>
        <w:jc w:val="both"/>
        <w:rPr>
          <w:rFonts w:ascii="Times New Roman" w:hAnsi="Times New Roman" w:eastAsia="Times New Roman" w:cs="Times New Roman"/>
          <w:b/>
          <w:sz w:val="16"/>
          <w:szCs w:val="16"/>
          <w:lang w:eastAsia="ru-RU"/>
        </w:rPr>
      </w:pPr>
    </w:p>
    <w:p w14:paraId="601751DC">
      <w:pPr>
        <w:spacing w:after="0" w:line="240" w:lineRule="auto"/>
        <w:jc w:val="center"/>
        <w:rPr>
          <w:rFonts w:ascii="Times New Roman" w:hAnsi="Times New Roman" w:cs="Times New Roman" w:eastAsiaTheme="minorEastAsia"/>
          <w:b/>
          <w:lang w:val="zh-CN"/>
        </w:rPr>
      </w:pPr>
      <w:r>
        <w:rPr>
          <w:rFonts w:ascii="Times New Roman" w:hAnsi="Times New Roman" w:cs="Times New Roman" w:eastAsiaTheme="minorEastAsia"/>
          <w:b/>
          <w:lang w:val="zh-CN"/>
        </w:rPr>
        <w:t>PREȘEDINTE</w:t>
      </w:r>
    </w:p>
    <w:p w14:paraId="79AC5FE0">
      <w:pPr>
        <w:spacing w:after="0" w:line="240" w:lineRule="auto"/>
        <w:jc w:val="center"/>
        <w:rPr>
          <w:rFonts w:ascii="Times New Roman" w:hAnsi="Times New Roman" w:cs="Times New Roman" w:eastAsiaTheme="minorEastAsia"/>
          <w:b/>
          <w:lang w:val="zh-CN"/>
        </w:rPr>
      </w:pPr>
      <w:r>
        <w:rPr>
          <w:rFonts w:ascii="Times New Roman" w:hAnsi="Times New Roman" w:cs="Times New Roman" w:eastAsiaTheme="minorEastAsia"/>
          <w:b/>
          <w:lang w:val="zh-CN"/>
        </w:rPr>
        <w:t>Cristian CAINARIAN</w:t>
      </w:r>
    </w:p>
    <w:p w14:paraId="64E71759">
      <w:pPr>
        <w:spacing w:after="0" w:line="240" w:lineRule="auto"/>
        <w:jc w:val="center"/>
        <w:rPr>
          <w:rFonts w:ascii="Times New Roman" w:hAnsi="Times New Roman" w:eastAsia="Times New Roman" w:cs="Times New Roman"/>
          <w:sz w:val="24"/>
          <w:szCs w:val="24"/>
          <w:lang w:val="zh-CN" w:eastAsia="ru-RU"/>
        </w:rPr>
      </w:pPr>
      <w:r>
        <w:rPr>
          <w:rFonts w:ascii="Times New Roman" w:hAnsi="Times New Roman" w:cs="Times New Roman" w:eastAsiaTheme="minorEastAsia"/>
          <w:b/>
          <w:lang w:val="zh-CN"/>
        </w:rPr>
        <w:t>________________________</w:t>
      </w:r>
    </w:p>
    <w:p w14:paraId="10779EA8">
      <w:pPr>
        <w:spacing w:after="0" w:line="240" w:lineRule="auto"/>
        <w:rPr>
          <w:rFonts w:ascii="Times New Roman" w:hAnsi="Times New Roman" w:eastAsia="Times New Roman" w:cs="Times New Roman"/>
          <w:sz w:val="24"/>
          <w:szCs w:val="24"/>
          <w:lang w:val="zh-CN" w:eastAsia="ru-RU"/>
        </w:rPr>
      </w:pPr>
    </w:p>
    <w:p w14:paraId="580E4708">
      <w:pPr>
        <w:spacing w:after="0" w:line="240" w:lineRule="auto"/>
        <w:rPr>
          <w:rFonts w:ascii="Times New Roman" w:hAnsi="Times New Roman" w:eastAsia="Times New Roman" w:cs="Times New Roman"/>
          <w:sz w:val="24"/>
          <w:szCs w:val="24"/>
          <w:lang w:val="zh-CN" w:eastAsia="ru-RU"/>
        </w:rPr>
      </w:pPr>
    </w:p>
    <w:tbl>
      <w:tblPr>
        <w:tblStyle w:val="8"/>
        <w:tblW w:w="9346"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4673"/>
        <w:gridCol w:w="4673"/>
      </w:tblGrid>
      <w:tr w14:paraId="396693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4673" w:type="dxa"/>
          </w:tcPr>
          <w:p w14:paraId="36C7D9FE">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CONTRASEMNEAZĂ</w:t>
            </w:r>
          </w:p>
          <w:p w14:paraId="2C02C82E">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 xml:space="preserve">Secretar </w:t>
            </w:r>
          </w:p>
          <w:p w14:paraId="01C65D90">
            <w:pPr>
              <w:spacing w:after="0" w:line="240" w:lineRule="auto"/>
              <w:ind w:left="-284"/>
              <w:jc w:val="center"/>
              <w:rPr>
                <w:rFonts w:ascii="Times New Roman" w:hAnsi="Times New Roman" w:cs="Times New Roman"/>
                <w:b/>
                <w:sz w:val="24"/>
                <w:szCs w:val="24"/>
                <w:lang w:val="zh-CN" w:eastAsia="ru-RU"/>
              </w:rPr>
            </w:pPr>
            <w:r>
              <w:rPr>
                <w:rFonts w:ascii="Times New Roman" w:hAnsi="Times New Roman" w:eastAsia="Times New Roman" w:cs="Times New Roman"/>
                <w:b/>
                <w:sz w:val="24"/>
                <w:szCs w:val="24"/>
                <w:lang w:val="zh-CN" w:eastAsia="ru-RU"/>
              </w:rPr>
              <w:t>Consiliului raional</w:t>
            </w:r>
          </w:p>
          <w:p w14:paraId="3200106A">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cs="Times New Roman"/>
                <w:b/>
                <w:sz w:val="24"/>
                <w:szCs w:val="24"/>
                <w:lang w:val="zh-CN" w:eastAsia="ru-RU"/>
              </w:rPr>
              <w:t>Angela MIHAILIUC</w:t>
            </w:r>
          </w:p>
          <w:p w14:paraId="478287B4">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______________________________</w:t>
            </w:r>
          </w:p>
          <w:p w14:paraId="759CE306">
            <w:pPr>
              <w:spacing w:after="0" w:line="240" w:lineRule="auto"/>
              <w:contextualSpacing/>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16"/>
                <w:szCs w:val="16"/>
                <w:lang w:val="zh-CN" w:eastAsia="ru-RU"/>
              </w:rPr>
              <w:t>semnătura</w:t>
            </w:r>
            <w:r>
              <w:rPr>
                <w:rFonts w:ascii="Times New Roman" w:hAnsi="Times New Roman" w:eastAsia="Times New Roman" w:cs="Times New Roman"/>
                <w:sz w:val="24"/>
                <w:szCs w:val="24"/>
                <w:lang w:val="zh-CN" w:eastAsia="ru-RU"/>
              </w:rPr>
              <w:t>)</w:t>
            </w:r>
          </w:p>
          <w:p w14:paraId="1EBE46D5">
            <w:pPr>
              <w:spacing w:after="0" w:line="240" w:lineRule="auto"/>
              <w:contextualSpacing/>
              <w:jc w:val="center"/>
              <w:rPr>
                <w:rFonts w:ascii="Times New Roman" w:hAnsi="Times New Roman" w:eastAsia="Times New Roman" w:cs="Times New Roman"/>
                <w:b/>
                <w:bCs/>
                <w:sz w:val="24"/>
                <w:szCs w:val="24"/>
                <w:lang w:val="zh-CN" w:eastAsia="ru-RU"/>
              </w:rPr>
            </w:pPr>
          </w:p>
        </w:tc>
        <w:tc>
          <w:tcPr>
            <w:tcW w:w="4673" w:type="dxa"/>
          </w:tcPr>
          <w:p w14:paraId="04B0115B">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 xml:space="preserve">SUSŢIN </w:t>
            </w:r>
          </w:p>
          <w:p w14:paraId="71967778">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b/>
                <w:sz w:val="24"/>
                <w:szCs w:val="24"/>
                <w:lang w:val="zh-CN" w:eastAsia="ru-RU"/>
              </w:rPr>
              <w:t>Vicepreședinta raionului</w:t>
            </w:r>
          </w:p>
          <w:p w14:paraId="34722544">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Vera SERBUȘCA</w:t>
            </w:r>
          </w:p>
          <w:p w14:paraId="1A0C601F">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__________________________</w:t>
            </w:r>
          </w:p>
          <w:p w14:paraId="67D04480">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20"/>
                <w:szCs w:val="20"/>
                <w:lang w:val="zh-CN" w:eastAsia="ru-RU"/>
              </w:rPr>
              <w:t>semnătura</w:t>
            </w:r>
            <w:r>
              <w:rPr>
                <w:rFonts w:ascii="Times New Roman" w:hAnsi="Times New Roman" w:eastAsia="Times New Roman" w:cs="Times New Roman"/>
                <w:sz w:val="24"/>
                <w:szCs w:val="24"/>
                <w:lang w:val="zh-CN" w:eastAsia="ru-RU"/>
              </w:rPr>
              <w:t>)</w:t>
            </w:r>
          </w:p>
          <w:p w14:paraId="3BE0C807">
            <w:pPr>
              <w:spacing w:after="0" w:line="240" w:lineRule="auto"/>
              <w:contextualSpacing/>
              <w:jc w:val="center"/>
              <w:rPr>
                <w:rFonts w:ascii="Times New Roman" w:hAnsi="Times New Roman" w:eastAsia="Times New Roman" w:cs="Times New Roman"/>
                <w:b/>
                <w:bCs/>
                <w:sz w:val="24"/>
                <w:szCs w:val="24"/>
                <w:lang w:val="zh-CN" w:eastAsia="ru-RU"/>
              </w:rPr>
            </w:pPr>
          </w:p>
        </w:tc>
      </w:tr>
      <w:tr w14:paraId="05F3309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4673" w:type="dxa"/>
          </w:tcPr>
          <w:p w14:paraId="2F262F21">
            <w:pPr>
              <w:spacing w:after="0" w:line="240" w:lineRule="auto"/>
              <w:jc w:val="center"/>
              <w:rPr>
                <w:rFonts w:ascii="Times New Roman" w:hAnsi="Times New Roman" w:eastAsia="Times New Roman" w:cs="Times New Roman"/>
                <w:b/>
                <w:sz w:val="24"/>
                <w:szCs w:val="24"/>
                <w:lang w:val="zh-CN" w:eastAsia="ru-RU"/>
              </w:rPr>
            </w:pPr>
          </w:p>
          <w:p w14:paraId="66EAC0EE">
            <w:pPr>
              <w:spacing w:after="0" w:line="240" w:lineRule="auto"/>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ÎNTOCMIT</w:t>
            </w:r>
          </w:p>
          <w:p w14:paraId="56F8504A">
            <w:pPr>
              <w:spacing w:after="0" w:line="240" w:lineRule="auto"/>
              <w:jc w:val="center"/>
              <w:rPr>
                <w:rFonts w:ascii="Times New Roman" w:hAnsi="Times New Roman" w:cs="Times New Roman"/>
                <w:b/>
                <w:sz w:val="24"/>
                <w:szCs w:val="24"/>
                <w:lang w:val="zh-CN" w:eastAsia="ru-RU"/>
              </w:rPr>
            </w:pPr>
            <w:r>
              <w:rPr>
                <w:rFonts w:ascii="Times New Roman" w:hAnsi="Times New Roman" w:eastAsia="Times New Roman" w:cs="Times New Roman"/>
                <w:b/>
                <w:sz w:val="24"/>
                <w:szCs w:val="24"/>
                <w:lang w:val="zh-CN" w:eastAsia="ru-RU"/>
              </w:rPr>
              <w:t>Șef  Direcția Educație</w:t>
            </w:r>
          </w:p>
          <w:p w14:paraId="0F2CFAF5">
            <w:pPr>
              <w:spacing w:after="0" w:line="240" w:lineRule="auto"/>
              <w:jc w:val="center"/>
              <w:rPr>
                <w:rFonts w:ascii="Times New Roman" w:hAnsi="Times New Roman" w:eastAsia="Times New Roman" w:cs="Times New Roman"/>
                <w:b/>
                <w:sz w:val="24"/>
                <w:szCs w:val="24"/>
                <w:lang w:val="zh-CN" w:eastAsia="ru-RU"/>
              </w:rPr>
            </w:pPr>
            <w:r>
              <w:rPr>
                <w:rFonts w:ascii="Times New Roman" w:hAnsi="Times New Roman" w:cs="Times New Roman"/>
                <w:b/>
                <w:sz w:val="24"/>
                <w:szCs w:val="24"/>
                <w:lang w:val="zh-CN" w:eastAsia="ru-RU"/>
              </w:rPr>
              <w:t>Nicolae MELINTE</w:t>
            </w:r>
          </w:p>
          <w:p w14:paraId="4BA434D6">
            <w:pPr>
              <w:spacing w:after="0" w:line="240" w:lineRule="auto"/>
              <w:ind w:left="-284"/>
              <w:rPr>
                <w:rFonts w:ascii="Times New Roman" w:hAnsi="Times New Roman" w:eastAsia="Times New Roman" w:cs="Times New Roman"/>
                <w:sz w:val="24"/>
                <w:szCs w:val="24"/>
                <w:lang w:val="zh-CN" w:eastAsia="ru-RU"/>
              </w:rPr>
            </w:pPr>
          </w:p>
          <w:p w14:paraId="758BD98B">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_________________________</w:t>
            </w:r>
          </w:p>
          <w:p w14:paraId="1125A79B">
            <w:pPr>
              <w:spacing w:after="0" w:line="240" w:lineRule="auto"/>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18"/>
                <w:szCs w:val="18"/>
                <w:lang w:val="zh-CN" w:eastAsia="ru-RU"/>
              </w:rPr>
              <w:t>semnătura</w:t>
            </w:r>
            <w:r>
              <w:rPr>
                <w:rFonts w:ascii="Times New Roman" w:hAnsi="Times New Roman" w:eastAsia="Times New Roman" w:cs="Times New Roman"/>
                <w:sz w:val="24"/>
                <w:szCs w:val="24"/>
                <w:lang w:val="zh-CN" w:eastAsia="ru-RU"/>
              </w:rPr>
              <w:t>)</w:t>
            </w:r>
          </w:p>
          <w:p w14:paraId="6C9B8D65">
            <w:pPr>
              <w:spacing w:after="0" w:line="240" w:lineRule="auto"/>
              <w:contextualSpacing/>
              <w:jc w:val="center"/>
              <w:rPr>
                <w:rFonts w:ascii="Times New Roman" w:hAnsi="Times New Roman" w:eastAsia="Times New Roman" w:cs="Times New Roman"/>
                <w:b/>
                <w:bCs/>
                <w:sz w:val="24"/>
                <w:szCs w:val="24"/>
                <w:lang w:val="zh-CN" w:eastAsia="ru-RU"/>
              </w:rPr>
            </w:pPr>
          </w:p>
        </w:tc>
        <w:tc>
          <w:tcPr>
            <w:tcW w:w="4673" w:type="dxa"/>
          </w:tcPr>
          <w:p w14:paraId="268C3C5A">
            <w:pPr>
              <w:spacing w:after="0" w:line="240" w:lineRule="auto"/>
              <w:ind w:left="-284"/>
              <w:jc w:val="center"/>
              <w:rPr>
                <w:rFonts w:ascii="Times New Roman" w:hAnsi="Times New Roman" w:eastAsia="Times New Roman" w:cs="Times New Roman"/>
                <w:b/>
                <w:sz w:val="24"/>
                <w:szCs w:val="24"/>
                <w:lang w:val="zh-CN" w:eastAsia="ru-RU"/>
              </w:rPr>
            </w:pPr>
          </w:p>
          <w:p w14:paraId="6CF40875">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COORDONAT</w:t>
            </w:r>
          </w:p>
          <w:p w14:paraId="68F56072">
            <w:pPr>
              <w:spacing w:after="0" w:line="240" w:lineRule="auto"/>
              <w:ind w:left="-284"/>
              <w:jc w:val="center"/>
              <w:rPr>
                <w:rFonts w:ascii="Times New Roman" w:hAnsi="Times New Roman" w:eastAsia="Times New Roman" w:cs="Times New Roman"/>
                <w:b/>
                <w:sz w:val="24"/>
                <w:szCs w:val="24"/>
                <w:lang w:val="zh-CN" w:eastAsia="ru-RU"/>
              </w:rPr>
            </w:pPr>
            <w:r>
              <w:rPr>
                <w:rFonts w:ascii="Times New Roman" w:hAnsi="Times New Roman" w:eastAsia="Times New Roman" w:cs="Times New Roman"/>
                <w:b/>
                <w:sz w:val="24"/>
                <w:szCs w:val="24"/>
                <w:lang w:val="zh-CN" w:eastAsia="ru-RU"/>
              </w:rPr>
              <w:t>Șefă, Secția Juridică și Resurse Umane</w:t>
            </w:r>
          </w:p>
          <w:p w14:paraId="2881DDA4">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Oxana TABARCEA</w:t>
            </w:r>
          </w:p>
          <w:p w14:paraId="1920A975">
            <w:pPr>
              <w:spacing w:after="0" w:line="240" w:lineRule="auto"/>
              <w:ind w:left="-284"/>
              <w:jc w:val="center"/>
              <w:rPr>
                <w:rFonts w:ascii="Times New Roman" w:hAnsi="Times New Roman" w:eastAsia="Times New Roman" w:cs="Times New Roman"/>
                <w:sz w:val="24"/>
                <w:szCs w:val="24"/>
                <w:lang w:val="zh-CN" w:eastAsia="ru-RU"/>
              </w:rPr>
            </w:pPr>
          </w:p>
          <w:p w14:paraId="1511AEEB">
            <w:pPr>
              <w:spacing w:after="0" w:line="240" w:lineRule="auto"/>
              <w:ind w:left="-284"/>
              <w:jc w:val="center"/>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_________________________</w:t>
            </w:r>
          </w:p>
          <w:p w14:paraId="627036CD">
            <w:pPr>
              <w:spacing w:after="0" w:line="240" w:lineRule="auto"/>
              <w:contextualSpacing/>
              <w:jc w:val="center"/>
              <w:rPr>
                <w:rFonts w:ascii="Times New Roman" w:hAnsi="Times New Roman" w:eastAsia="Times New Roman" w:cs="Times New Roman"/>
                <w:b/>
                <w:bCs/>
                <w:sz w:val="24"/>
                <w:szCs w:val="24"/>
                <w:lang w:val="zh-CN" w:eastAsia="ru-RU"/>
              </w:rPr>
            </w:pPr>
            <w:r>
              <w:rPr>
                <w:rFonts w:ascii="Times New Roman" w:hAnsi="Times New Roman" w:eastAsia="Times New Roman" w:cs="Times New Roman"/>
                <w:sz w:val="24"/>
                <w:szCs w:val="24"/>
                <w:lang w:val="zh-CN" w:eastAsia="ru-RU"/>
              </w:rPr>
              <w:t>(</w:t>
            </w:r>
            <w:r>
              <w:rPr>
                <w:rFonts w:ascii="Times New Roman" w:hAnsi="Times New Roman" w:eastAsia="Times New Roman" w:cs="Times New Roman"/>
                <w:sz w:val="18"/>
                <w:szCs w:val="18"/>
                <w:lang w:val="zh-CN" w:eastAsia="ru-RU"/>
              </w:rPr>
              <w:t>semnătura</w:t>
            </w:r>
            <w:r>
              <w:rPr>
                <w:rFonts w:ascii="Times New Roman" w:hAnsi="Times New Roman" w:eastAsia="Times New Roman" w:cs="Times New Roman"/>
                <w:sz w:val="24"/>
                <w:szCs w:val="24"/>
                <w:lang w:val="zh-CN" w:eastAsia="ru-RU"/>
              </w:rPr>
              <w:t>)</w:t>
            </w:r>
          </w:p>
        </w:tc>
      </w:tr>
    </w:tbl>
    <w:p w14:paraId="5D9CBE37">
      <w:pPr>
        <w:spacing w:after="0" w:line="240" w:lineRule="auto"/>
        <w:rPr>
          <w:rFonts w:ascii="Times New Roman" w:hAnsi="Times New Roman" w:eastAsia="Batang" w:cs="Times New Roman"/>
          <w:lang w:val="zh-CN" w:eastAsia="ko-KR"/>
        </w:rPr>
      </w:pPr>
      <w:r>
        <w:rPr>
          <w:rFonts w:ascii="Times New Roman" w:hAnsi="Times New Roman" w:eastAsia="Calibri" w:cs="Calibri"/>
          <w:sz w:val="28"/>
          <w:szCs w:val="28"/>
          <w:lang w:val="zh-CN"/>
        </w:rPr>
        <w:t xml:space="preserve"> </w:t>
      </w:r>
    </w:p>
    <w:p w14:paraId="613A333F">
      <w:pPr>
        <w:rPr>
          <w:rFonts w:ascii="Times New Roman" w:hAnsi="Times New Roman" w:cs="Times New Roman"/>
          <w:sz w:val="24"/>
          <w:szCs w:val="24"/>
          <w:lang w:val="zh-CN"/>
        </w:rPr>
      </w:pPr>
    </w:p>
    <w:p w14:paraId="796949EE"/>
    <w:sectPr>
      <w:pgSz w:w="12240" w:h="15840"/>
      <w:pgMar w:top="567" w:right="851" w:bottom="567"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31B44"/>
    <w:multiLevelType w:val="multilevel"/>
    <w:tmpl w:val="44D31B4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5E77B56"/>
    <w:multiLevelType w:val="multilevel"/>
    <w:tmpl w:val="45E77B56"/>
    <w:lvl w:ilvl="0" w:tentative="0">
      <w:start w:val="5"/>
      <w:numFmt w:val="decimal"/>
      <w:lvlText w:val="%1."/>
      <w:lvlJc w:val="left"/>
      <w:pPr>
        <w:tabs>
          <w:tab w:val="left" w:pos="2203"/>
        </w:tabs>
        <w:ind w:left="2203" w:hanging="360"/>
      </w:pPr>
    </w:lvl>
    <w:lvl w:ilvl="1" w:tentative="0">
      <w:start w:val="1"/>
      <w:numFmt w:val="decimal"/>
      <w:lvlText w:val="%2."/>
      <w:lvlJc w:val="left"/>
      <w:pPr>
        <w:tabs>
          <w:tab w:val="left" w:pos="2923"/>
        </w:tabs>
        <w:ind w:left="2923" w:hanging="360"/>
      </w:pPr>
    </w:lvl>
    <w:lvl w:ilvl="2" w:tentative="0">
      <w:start w:val="1"/>
      <w:numFmt w:val="decimal"/>
      <w:lvlText w:val="%3."/>
      <w:lvlJc w:val="left"/>
      <w:pPr>
        <w:tabs>
          <w:tab w:val="left" w:pos="3643"/>
        </w:tabs>
        <w:ind w:left="3643" w:hanging="360"/>
      </w:pPr>
    </w:lvl>
    <w:lvl w:ilvl="3" w:tentative="0">
      <w:start w:val="1"/>
      <w:numFmt w:val="decimal"/>
      <w:lvlText w:val="%4."/>
      <w:lvlJc w:val="left"/>
      <w:pPr>
        <w:tabs>
          <w:tab w:val="left" w:pos="4363"/>
        </w:tabs>
        <w:ind w:left="4363" w:hanging="360"/>
      </w:pPr>
    </w:lvl>
    <w:lvl w:ilvl="4" w:tentative="0">
      <w:start w:val="1"/>
      <w:numFmt w:val="decimal"/>
      <w:lvlText w:val="%5."/>
      <w:lvlJc w:val="left"/>
      <w:pPr>
        <w:tabs>
          <w:tab w:val="left" w:pos="5083"/>
        </w:tabs>
        <w:ind w:left="5083" w:hanging="360"/>
      </w:pPr>
    </w:lvl>
    <w:lvl w:ilvl="5" w:tentative="0">
      <w:start w:val="1"/>
      <w:numFmt w:val="decimal"/>
      <w:lvlText w:val="%6."/>
      <w:lvlJc w:val="left"/>
      <w:pPr>
        <w:tabs>
          <w:tab w:val="left" w:pos="5803"/>
        </w:tabs>
        <w:ind w:left="5803" w:hanging="360"/>
      </w:pPr>
    </w:lvl>
    <w:lvl w:ilvl="6" w:tentative="0">
      <w:start w:val="1"/>
      <w:numFmt w:val="decimal"/>
      <w:lvlText w:val="%7."/>
      <w:lvlJc w:val="left"/>
      <w:pPr>
        <w:tabs>
          <w:tab w:val="left" w:pos="6523"/>
        </w:tabs>
        <w:ind w:left="6523" w:hanging="360"/>
      </w:pPr>
    </w:lvl>
    <w:lvl w:ilvl="7" w:tentative="0">
      <w:start w:val="1"/>
      <w:numFmt w:val="decimal"/>
      <w:lvlText w:val="%8."/>
      <w:lvlJc w:val="left"/>
      <w:pPr>
        <w:tabs>
          <w:tab w:val="left" w:pos="7243"/>
        </w:tabs>
        <w:ind w:left="7243" w:hanging="360"/>
      </w:pPr>
    </w:lvl>
    <w:lvl w:ilvl="8" w:tentative="0">
      <w:start w:val="1"/>
      <w:numFmt w:val="decimal"/>
      <w:lvlText w:val="%9."/>
      <w:lvlJc w:val="left"/>
      <w:pPr>
        <w:tabs>
          <w:tab w:val="left" w:pos="7963"/>
        </w:tabs>
        <w:ind w:left="796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B3"/>
    <w:rsid w:val="00143C90"/>
    <w:rsid w:val="002D2FF3"/>
    <w:rsid w:val="00334B00"/>
    <w:rsid w:val="00343AAE"/>
    <w:rsid w:val="004539B3"/>
    <w:rsid w:val="005E61DC"/>
    <w:rsid w:val="0067665B"/>
    <w:rsid w:val="006A00BB"/>
    <w:rsid w:val="006A5424"/>
    <w:rsid w:val="009244D9"/>
    <w:rsid w:val="00962FA3"/>
    <w:rsid w:val="00A351F2"/>
    <w:rsid w:val="00B32D32"/>
    <w:rsid w:val="00F9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Абзац списка Знак"/>
    <w:link w:val="7"/>
    <w:qFormat/>
    <w:locked/>
    <w:uiPriority w:val="34"/>
  </w:style>
  <w:style w:type="paragraph" w:styleId="7">
    <w:name w:val="List Paragraph"/>
    <w:basedOn w:val="1"/>
    <w:link w:val="6"/>
    <w:qFormat/>
    <w:uiPriority w:val="34"/>
    <w:pPr>
      <w:spacing w:line="256" w:lineRule="auto"/>
      <w:ind w:left="720"/>
      <w:contextualSpacing/>
    </w:pPr>
  </w:style>
  <w:style w:type="table" w:customStyle="1" w:styleId="8">
    <w:name w:val="Grid Table Light"/>
    <w:basedOn w:val="3"/>
    <w:qFormat/>
    <w:uiPriority w:val="40"/>
    <w:pPr>
      <w:spacing w:after="0" w:line="240" w:lineRule="auto"/>
    </w:pPr>
    <w:rPr>
      <w:lang w:val="ru-RU"/>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1650</Words>
  <Characters>9410</Characters>
  <Lines>78</Lines>
  <Paragraphs>22</Paragraphs>
  <TotalTime>0</TotalTime>
  <ScaleCrop>false</ScaleCrop>
  <LinksUpToDate>false</LinksUpToDate>
  <CharactersWithSpaces>11038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2026-05-22T08:32:00Z</dcterms:created>
  <dc:creator>Mariana</dc:creator>
  <cp:lastModifiedBy>Iulian Erimei</cp:lastModifiedBy>
  <dcterms:modified xsi:type="dcterms:W3CDTF">2026-06-08T13:47:50Z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A16C82C6167441C793D6ECE13ACAC233_13</vt:lpwstr>
  </property>
</Properties>
</file>