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16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655"/>
        <w:gridCol w:w="1283"/>
      </w:tblGrid>
      <w:tr w14:paraId="58E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701" w:type="dxa"/>
            <w:tcBorders>
              <w:top w:val="nil"/>
              <w:left w:val="nil"/>
              <w:bottom w:val="single" w:color="auto" w:sz="4" w:space="0"/>
              <w:right w:val="nil"/>
            </w:tcBorders>
          </w:tcPr>
          <w:p w14:paraId="05A3FF81">
            <w:pPr>
              <w:spacing w:after="200" w:line="276" w:lineRule="auto"/>
              <w:contextualSpacing/>
              <w:rPr>
                <w:b/>
                <w:sz w:val="28"/>
                <w:lang w:val="en-US" w:eastAsia="en-US"/>
              </w:rPr>
            </w:pPr>
            <w:r>
              <w:rPr>
                <w:rFonts w:asciiTheme="minorHAnsi" w:hAnsiTheme="minorHAnsi" w:eastAsiaTheme="minorEastAsia" w:cstheme="minorBidi"/>
                <w:sz w:val="22"/>
                <w:szCs w:val="22"/>
              </w:rPr>
              <w:drawing>
                <wp:anchor distT="0" distB="0" distL="114300" distR="114300" simplePos="0" relativeHeight="251661312" behindDoc="0" locked="0" layoutInCell="1" allowOverlap="0">
                  <wp:simplePos x="0" y="0"/>
                  <wp:positionH relativeFrom="margin">
                    <wp:posOffset>268605</wp:posOffset>
                  </wp:positionH>
                  <wp:positionV relativeFrom="margin">
                    <wp:posOffset>224790</wp:posOffset>
                  </wp:positionV>
                  <wp:extent cx="569595" cy="689610"/>
                  <wp:effectExtent l="19050" t="0" r="190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srcRect/>
                          <a:stretch>
                            <a:fillRect/>
                          </a:stretch>
                        </pic:blipFill>
                        <pic:spPr>
                          <a:xfrm>
                            <a:off x="0" y="0"/>
                            <a:ext cx="569595" cy="689610"/>
                          </a:xfrm>
                          <a:prstGeom prst="rect">
                            <a:avLst/>
                          </a:prstGeom>
                          <a:noFill/>
                        </pic:spPr>
                      </pic:pic>
                    </a:graphicData>
                  </a:graphic>
                </wp:anchor>
              </w:drawing>
            </w:r>
          </w:p>
          <w:p w14:paraId="7F8DBA79">
            <w:pPr>
              <w:spacing w:after="200" w:line="276" w:lineRule="auto"/>
              <w:contextualSpacing/>
              <w:rPr>
                <w:rFonts w:eastAsiaTheme="minorEastAsia"/>
                <w:sz w:val="22"/>
                <w:szCs w:val="22"/>
                <w:lang w:val="en-US" w:eastAsia="en-US"/>
              </w:rPr>
            </w:pPr>
          </w:p>
        </w:tc>
        <w:tc>
          <w:tcPr>
            <w:tcW w:w="6655" w:type="dxa"/>
            <w:tcBorders>
              <w:top w:val="nil"/>
              <w:left w:val="nil"/>
              <w:bottom w:val="single" w:color="auto" w:sz="4" w:space="0"/>
              <w:right w:val="nil"/>
            </w:tcBorders>
          </w:tcPr>
          <w:p w14:paraId="7B37A026">
            <w:pPr>
              <w:spacing w:after="200" w:line="276" w:lineRule="auto"/>
              <w:contextualSpacing/>
              <w:rPr>
                <w:lang w:val="en-US" w:eastAsia="en-US"/>
              </w:rPr>
            </w:pPr>
          </w:p>
          <w:p w14:paraId="2007DD19">
            <w:pPr>
              <w:keepNext/>
              <w:contextualSpacing/>
              <w:jc w:val="center"/>
              <w:outlineLvl w:val="0"/>
              <w:rPr>
                <w:rFonts w:eastAsiaTheme="minorEastAsia"/>
                <w:b/>
                <w:lang w:val="it-IT" w:eastAsia="en-US"/>
              </w:rPr>
            </w:pPr>
            <w:r>
              <w:rPr>
                <w:rFonts w:eastAsiaTheme="minorEastAsia"/>
                <w:b/>
                <w:lang w:val="it-IT" w:eastAsia="en-US"/>
              </w:rPr>
              <w:t>REPUBLICA  MOLDOVA</w:t>
            </w:r>
          </w:p>
          <w:p w14:paraId="68B9D555">
            <w:pPr>
              <w:keepNext/>
              <w:contextualSpacing/>
              <w:jc w:val="center"/>
              <w:outlineLvl w:val="0"/>
              <w:rPr>
                <w:rFonts w:eastAsiaTheme="minorEastAsia"/>
                <w:b/>
                <w:sz w:val="16"/>
                <w:szCs w:val="16"/>
                <w:lang w:val="it-IT" w:eastAsia="en-US"/>
              </w:rPr>
            </w:pPr>
          </w:p>
          <w:p w14:paraId="3C3A0222">
            <w:pPr>
              <w:keepNext/>
              <w:contextualSpacing/>
              <w:outlineLvl w:val="0"/>
              <w:rPr>
                <w:rFonts w:eastAsiaTheme="minorEastAsia"/>
                <w:b/>
                <w:sz w:val="22"/>
                <w:szCs w:val="22"/>
                <w:lang w:val="ro-RO" w:eastAsia="en-US"/>
              </w:rPr>
            </w:pPr>
            <w:r>
              <w:rPr>
                <w:rFonts w:eastAsiaTheme="minorEastAsia"/>
                <w:b/>
                <w:lang w:val="it-IT" w:eastAsia="en-US"/>
              </w:rPr>
              <w:t xml:space="preserve">                     CONSILIUL  RAIONAL  </w:t>
            </w:r>
            <w:r>
              <w:rPr>
                <w:rFonts w:eastAsiaTheme="minorEastAsia"/>
                <w:b/>
                <w:sz w:val="22"/>
                <w:szCs w:val="22"/>
                <w:lang w:val="it-IT" w:eastAsia="en-US"/>
              </w:rPr>
              <w:t>S</w:t>
            </w:r>
            <w:r>
              <w:rPr>
                <w:rFonts w:eastAsiaTheme="minorEastAsia"/>
                <w:b/>
                <w:sz w:val="22"/>
                <w:szCs w:val="22"/>
                <w:lang w:val="ro-RO" w:eastAsia="en-US"/>
              </w:rPr>
              <w:t>ÎNGEREI</w:t>
            </w:r>
          </w:p>
          <w:p w14:paraId="1870AD8B">
            <w:pPr>
              <w:keepNext/>
              <w:contextualSpacing/>
              <w:outlineLvl w:val="0"/>
              <w:rPr>
                <w:rFonts w:eastAsiaTheme="minorEastAsia"/>
                <w:b/>
                <w:sz w:val="22"/>
                <w:szCs w:val="22"/>
                <w:lang w:val="ro-RO" w:eastAsia="en-US"/>
              </w:rPr>
            </w:pPr>
          </w:p>
          <w:p w14:paraId="35BE6325">
            <w:pPr>
              <w:keepNext/>
              <w:contextualSpacing/>
              <w:outlineLvl w:val="0"/>
              <w:rPr>
                <w:rFonts w:eastAsiaTheme="minorEastAsia"/>
                <w:b/>
                <w:lang w:val="it-IT" w:eastAsia="en-US"/>
              </w:rPr>
            </w:pPr>
            <w:r>
              <w:rPr>
                <w:rFonts w:eastAsiaTheme="minorEastAsia"/>
                <w:b/>
                <w:sz w:val="22"/>
                <w:szCs w:val="22"/>
                <w:lang w:val="ro-RO" w:eastAsia="en-US"/>
              </w:rPr>
              <w:t xml:space="preserve">                               PREȘEDINTELE RAIONULUI</w:t>
            </w:r>
          </w:p>
          <w:p w14:paraId="63EE5E60">
            <w:pPr>
              <w:spacing w:after="200" w:line="276" w:lineRule="auto"/>
              <w:contextualSpacing/>
              <w:jc w:val="center"/>
              <w:rPr>
                <w:rFonts w:eastAsiaTheme="minorEastAsia"/>
                <w:lang w:val="it-IT" w:eastAsia="en-US"/>
              </w:rPr>
            </w:pPr>
            <w:r>
              <w:rPr>
                <w:rFonts w:eastAsiaTheme="minorEastAsia"/>
                <w:b/>
                <w:sz w:val="22"/>
                <w:szCs w:val="22"/>
                <w:lang w:val="ro-RO" w:eastAsia="en-US"/>
              </w:rPr>
              <w:t xml:space="preserve"> </w:t>
            </w:r>
          </w:p>
        </w:tc>
        <w:tc>
          <w:tcPr>
            <w:tcW w:w="1283" w:type="dxa"/>
            <w:tcBorders>
              <w:top w:val="nil"/>
              <w:left w:val="nil"/>
              <w:bottom w:val="single" w:color="auto" w:sz="4" w:space="0"/>
              <w:right w:val="nil"/>
            </w:tcBorders>
          </w:tcPr>
          <w:p w14:paraId="4AA78435">
            <w:pPr>
              <w:spacing w:after="200" w:line="276" w:lineRule="auto"/>
              <w:contextualSpacing/>
              <w:jc w:val="center"/>
              <w:rPr>
                <w:lang w:val="it-IT" w:eastAsia="en-US"/>
              </w:rPr>
            </w:pPr>
            <w:r>
              <w:rPr>
                <w:rFonts w:asciiTheme="minorHAnsi" w:hAnsiTheme="minorHAnsi" w:eastAsiaTheme="minorEastAsia" w:cstheme="minorBidi"/>
                <w:sz w:val="22"/>
                <w:szCs w:val="22"/>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7"/>
                          <a:srcRect/>
                          <a:stretch>
                            <a:fillRect/>
                          </a:stretch>
                        </pic:blipFill>
                        <pic:spPr>
                          <a:xfrm>
                            <a:off x="0" y="0"/>
                            <a:ext cx="687070" cy="866140"/>
                          </a:xfrm>
                          <a:prstGeom prst="rect">
                            <a:avLst/>
                          </a:prstGeom>
                          <a:noFill/>
                        </pic:spPr>
                      </pic:pic>
                    </a:graphicData>
                  </a:graphic>
                </wp:anchor>
              </w:drawing>
            </w:r>
          </w:p>
          <w:p w14:paraId="1787BE59">
            <w:pPr>
              <w:spacing w:after="200" w:line="276" w:lineRule="auto"/>
              <w:contextualSpacing/>
              <w:jc w:val="center"/>
              <w:rPr>
                <w:rFonts w:eastAsiaTheme="minorEastAsia"/>
                <w:b/>
                <w:sz w:val="18"/>
                <w:szCs w:val="18"/>
                <w:lang w:val="en-US" w:eastAsia="en-US"/>
              </w:rPr>
            </w:pPr>
            <w:r>
              <w:rPr>
                <w:rFonts w:eastAsiaTheme="minorEastAsia"/>
                <w:b/>
                <w:sz w:val="20"/>
                <w:szCs w:val="20"/>
              </w:rPr>
              <w:drawing>
                <wp:inline distT="0" distB="0" distL="0" distR="0">
                  <wp:extent cx="495935" cy="6324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
                          <a:srcRect/>
                          <a:stretch>
                            <a:fillRect/>
                          </a:stretch>
                        </pic:blipFill>
                        <pic:spPr>
                          <a:xfrm>
                            <a:off x="0" y="0"/>
                            <a:ext cx="495935" cy="632460"/>
                          </a:xfrm>
                          <a:prstGeom prst="rect">
                            <a:avLst/>
                          </a:prstGeom>
                          <a:noFill/>
                          <a:ln w="9525">
                            <a:noFill/>
                            <a:miter lim="800000"/>
                            <a:headEnd/>
                            <a:tailEnd/>
                          </a:ln>
                        </pic:spPr>
                      </pic:pic>
                    </a:graphicData>
                  </a:graphic>
                </wp:inline>
              </w:drawing>
            </w:r>
          </w:p>
          <w:p w14:paraId="4D9E0EAF">
            <w:pPr>
              <w:spacing w:after="200" w:line="276" w:lineRule="auto"/>
              <w:contextualSpacing/>
              <w:rPr>
                <w:rFonts w:eastAsiaTheme="minorEastAsia"/>
                <w:sz w:val="18"/>
                <w:szCs w:val="18"/>
                <w:lang w:val="en-US" w:eastAsia="en-US"/>
              </w:rPr>
            </w:pPr>
          </w:p>
          <w:p w14:paraId="43A62BD0">
            <w:pPr>
              <w:spacing w:after="200" w:line="276" w:lineRule="auto"/>
              <w:contextualSpacing/>
              <w:jc w:val="right"/>
              <w:rPr>
                <w:rFonts w:eastAsiaTheme="minorEastAsia"/>
                <w:sz w:val="18"/>
                <w:szCs w:val="18"/>
                <w:lang w:val="en-US" w:eastAsia="en-US"/>
              </w:rPr>
            </w:pPr>
          </w:p>
        </w:tc>
      </w:tr>
      <w:tr w14:paraId="7CA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39" w:type="dxa"/>
            <w:gridSpan w:val="3"/>
            <w:tcBorders>
              <w:top w:val="single" w:color="auto" w:sz="4" w:space="0"/>
              <w:left w:val="nil"/>
              <w:bottom w:val="thinThickSmallGap" w:color="auto" w:sz="24" w:space="0"/>
              <w:right w:val="nil"/>
            </w:tcBorders>
          </w:tcPr>
          <w:p w14:paraId="60C18F9A">
            <w:pPr>
              <w:spacing w:after="200" w:line="276" w:lineRule="auto"/>
              <w:contextualSpacing/>
              <w:rPr>
                <w:rFonts w:eastAsiaTheme="minorEastAsia"/>
                <w:b/>
                <w:lang w:val="ro-RO" w:eastAsia="en-US"/>
              </w:rPr>
            </w:pPr>
            <w:r>
              <w:rPr>
                <w:rFonts w:eastAsiaTheme="minorEastAsia"/>
                <w:b/>
                <w:sz w:val="22"/>
                <w:szCs w:val="22"/>
                <w:lang w:val="ro-RO" w:eastAsia="en-US"/>
              </w:rPr>
              <w:t>Direcția Educație</w:t>
            </w:r>
          </w:p>
        </w:tc>
      </w:tr>
    </w:tbl>
    <w:p w14:paraId="567FFE73">
      <w:pPr>
        <w:rPr>
          <w:rFonts w:eastAsiaTheme="minorEastAsia"/>
          <w:b/>
          <w:szCs w:val="22"/>
          <w:lang w:val="en-US" w:eastAsia="en-US"/>
        </w:rPr>
      </w:pPr>
      <w:r>
        <w:rPr>
          <w:rFonts w:eastAsiaTheme="minorEastAsia"/>
          <w:b/>
          <w:szCs w:val="22"/>
          <w:lang w:val="en-US" w:eastAsia="en-US"/>
        </w:rPr>
        <w:t>Nr. _____________</w:t>
      </w:r>
    </w:p>
    <w:p w14:paraId="075159BF">
      <w:pPr>
        <w:rPr>
          <w:rFonts w:eastAsiaTheme="minorEastAsia"/>
          <w:b/>
          <w:szCs w:val="22"/>
          <w:lang w:val="en-US" w:eastAsia="en-US"/>
        </w:rPr>
      </w:pPr>
      <w:r>
        <w:rPr>
          <w:rFonts w:eastAsiaTheme="minorEastAsia"/>
          <w:b/>
          <w:szCs w:val="22"/>
          <w:lang w:val="en-US" w:eastAsia="en-US"/>
        </w:rPr>
        <w:t>din ______________ 2026</w:t>
      </w:r>
    </w:p>
    <w:p w14:paraId="56ECB14D">
      <w:pPr>
        <w:rPr>
          <w:rFonts w:eastAsiaTheme="minorEastAsia"/>
          <w:szCs w:val="22"/>
          <w:lang w:val="en-US" w:eastAsia="en-US"/>
        </w:rPr>
      </w:pPr>
    </w:p>
    <w:p w14:paraId="515ACAA9">
      <w:pPr>
        <w:jc w:val="both"/>
        <w:rPr>
          <w:rFonts w:eastAsiaTheme="minorEastAsia"/>
          <w:szCs w:val="22"/>
          <w:lang w:val="en-US" w:eastAsia="en-US"/>
        </w:rPr>
      </w:pPr>
      <w:r>
        <w:rPr>
          <w:rFonts w:eastAsiaTheme="minorEastAsia"/>
          <w:szCs w:val="22"/>
          <w:lang w:val="en-US" w:eastAsia="en-US"/>
        </w:rPr>
        <w:t>Sercretară interimară a</w:t>
      </w:r>
      <w:r>
        <w:rPr>
          <w:rFonts w:eastAsiaTheme="minorEastAsia"/>
          <w:szCs w:val="22"/>
          <w:lang w:val="en-US" w:eastAsia="en-US"/>
        </w:rPr>
        <w:tab/>
      </w:r>
      <w:r>
        <w:rPr>
          <w:rFonts w:eastAsiaTheme="minorEastAsia"/>
          <w:szCs w:val="22"/>
          <w:lang w:val="en-US" w:eastAsia="en-US"/>
        </w:rPr>
        <w:tab/>
      </w:r>
      <w:r>
        <w:rPr>
          <w:rFonts w:eastAsiaTheme="minorEastAsia"/>
          <w:szCs w:val="22"/>
          <w:lang w:val="en-US" w:eastAsia="en-US"/>
        </w:rPr>
        <w:tab/>
      </w:r>
      <w:r>
        <w:rPr>
          <w:rFonts w:eastAsiaTheme="minorEastAsia"/>
          <w:szCs w:val="22"/>
          <w:lang w:val="en-US" w:eastAsia="en-US"/>
        </w:rPr>
        <w:tab/>
      </w:r>
      <w:r>
        <w:rPr>
          <w:rFonts w:eastAsiaTheme="minorEastAsia"/>
          <w:szCs w:val="22"/>
          <w:lang w:val="en-US" w:eastAsia="en-US"/>
        </w:rPr>
        <w:tab/>
      </w:r>
      <w:r>
        <w:rPr>
          <w:rFonts w:eastAsiaTheme="minorEastAsia"/>
          <w:szCs w:val="22"/>
          <w:lang w:val="en-US" w:eastAsia="en-US"/>
        </w:rPr>
        <w:tab/>
      </w:r>
      <w:r>
        <w:rPr>
          <w:rFonts w:eastAsiaTheme="minorEastAsia"/>
          <w:szCs w:val="22"/>
          <w:lang w:val="en-US" w:eastAsia="en-US"/>
        </w:rPr>
        <w:t xml:space="preserve">  De acord şi dispun elaborarea  </w:t>
      </w:r>
    </w:p>
    <w:p w14:paraId="231DA09E">
      <w:pPr>
        <w:jc w:val="both"/>
        <w:rPr>
          <w:rFonts w:eastAsiaTheme="minorEastAsia"/>
          <w:szCs w:val="22"/>
          <w:lang w:val="fr-CA" w:eastAsia="en-US"/>
        </w:rPr>
      </w:pPr>
      <w:r>
        <w:rPr>
          <w:rFonts w:eastAsiaTheme="minorEastAsia"/>
          <w:szCs w:val="22"/>
          <w:lang w:val="fr-CA" w:eastAsia="en-US"/>
        </w:rPr>
        <w:t>Consiliului raional</w:t>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 xml:space="preserve">                              </w:t>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 xml:space="preserve">               Proiectului de decizie</w:t>
      </w:r>
    </w:p>
    <w:p w14:paraId="42A7A477">
      <w:pPr>
        <w:jc w:val="both"/>
        <w:rPr>
          <w:rFonts w:eastAsiaTheme="minorEastAsia"/>
          <w:b/>
          <w:szCs w:val="22"/>
          <w:lang w:val="fr-CA" w:eastAsia="en-US"/>
        </w:rPr>
      </w:pPr>
      <w:r>
        <w:rPr>
          <w:rFonts w:eastAsiaTheme="minorEastAsia"/>
          <w:b/>
          <w:szCs w:val="22"/>
          <w:lang w:val="fr-CA" w:eastAsia="en-US"/>
        </w:rPr>
        <w:t>Angela MIHALIUC</w:t>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ab/>
      </w:r>
      <w:r>
        <w:rPr>
          <w:rFonts w:eastAsiaTheme="minorEastAsia"/>
          <w:szCs w:val="22"/>
          <w:lang w:val="fr-CA" w:eastAsia="en-US"/>
        </w:rPr>
        <w:t xml:space="preserve">          </w:t>
      </w:r>
      <w:r>
        <w:rPr>
          <w:rFonts w:eastAsiaTheme="minorEastAsia"/>
          <w:b/>
          <w:szCs w:val="22"/>
          <w:lang w:val="fr-CA" w:eastAsia="en-US"/>
        </w:rPr>
        <w:t xml:space="preserve">  </w:t>
      </w:r>
      <w:r>
        <w:rPr>
          <w:rFonts w:eastAsiaTheme="minorEastAsia"/>
          <w:b/>
          <w:szCs w:val="22"/>
          <w:lang w:val="fr-CA" w:eastAsia="en-US"/>
        </w:rPr>
        <w:tab/>
      </w:r>
      <w:r>
        <w:rPr>
          <w:rFonts w:eastAsiaTheme="minorEastAsia"/>
          <w:b/>
          <w:szCs w:val="22"/>
          <w:lang w:val="fr-CA" w:eastAsia="en-US"/>
        </w:rPr>
        <w:tab/>
      </w:r>
      <w:r>
        <w:rPr>
          <w:rFonts w:eastAsiaTheme="minorEastAsia"/>
          <w:b/>
          <w:szCs w:val="22"/>
          <w:lang w:val="fr-CA" w:eastAsia="en-US"/>
        </w:rPr>
        <w:t xml:space="preserve">                              Președinte, </w:t>
      </w:r>
    </w:p>
    <w:p w14:paraId="345D459E">
      <w:pPr>
        <w:jc w:val="both"/>
        <w:rPr>
          <w:rFonts w:eastAsiaTheme="minorEastAsia"/>
          <w:b/>
          <w:szCs w:val="22"/>
          <w:lang w:val="fr-CA" w:eastAsia="en-US"/>
        </w:rPr>
      </w:pPr>
      <w:r>
        <w:rPr>
          <w:rFonts w:eastAsiaTheme="minorEastAsia"/>
          <w:b/>
          <w:szCs w:val="22"/>
          <w:lang w:val="fr-CA" w:eastAsia="en-US"/>
        </w:rPr>
        <w:t>_______________________</w:t>
      </w:r>
      <w:r>
        <w:rPr>
          <w:rFonts w:eastAsiaTheme="minorEastAsia"/>
          <w:b/>
          <w:szCs w:val="22"/>
          <w:lang w:val="fr-CA" w:eastAsia="en-US"/>
        </w:rPr>
        <w:tab/>
      </w:r>
      <w:r>
        <w:rPr>
          <w:rFonts w:eastAsiaTheme="minorEastAsia"/>
          <w:b/>
          <w:szCs w:val="22"/>
          <w:lang w:val="fr-CA" w:eastAsia="en-US"/>
        </w:rPr>
        <w:tab/>
      </w:r>
      <w:r>
        <w:rPr>
          <w:rFonts w:eastAsiaTheme="minorEastAsia"/>
          <w:b/>
          <w:szCs w:val="22"/>
          <w:lang w:val="fr-CA" w:eastAsia="en-US"/>
        </w:rPr>
        <w:t xml:space="preserve">                 </w:t>
      </w:r>
      <w:r>
        <w:rPr>
          <w:rFonts w:eastAsiaTheme="minorEastAsia"/>
          <w:b/>
          <w:szCs w:val="22"/>
          <w:lang w:val="fr-CA" w:eastAsia="en-US"/>
        </w:rPr>
        <w:tab/>
      </w:r>
      <w:r>
        <w:rPr>
          <w:rFonts w:eastAsiaTheme="minorEastAsia"/>
          <w:b/>
          <w:szCs w:val="22"/>
          <w:lang w:val="fr-CA" w:eastAsia="en-US"/>
        </w:rPr>
        <w:tab/>
      </w:r>
      <w:r>
        <w:rPr>
          <w:rFonts w:eastAsiaTheme="minorEastAsia"/>
          <w:b/>
          <w:szCs w:val="22"/>
          <w:lang w:val="fr-CA" w:eastAsia="en-US"/>
        </w:rPr>
        <w:t xml:space="preserve">       </w:t>
      </w:r>
      <w:r>
        <w:rPr>
          <w:rFonts w:eastAsiaTheme="minorEastAsia"/>
          <w:b/>
          <w:szCs w:val="22"/>
          <w:lang w:val="fr-CA" w:eastAsia="en-US"/>
        </w:rPr>
        <w:tab/>
      </w:r>
      <w:r>
        <w:rPr>
          <w:rFonts w:eastAsiaTheme="minorEastAsia"/>
          <w:b/>
          <w:szCs w:val="22"/>
          <w:lang w:val="fr-CA" w:eastAsia="en-US"/>
        </w:rPr>
        <w:t xml:space="preserve">           Cristian CAINARIAN</w:t>
      </w:r>
    </w:p>
    <w:p w14:paraId="794496D0">
      <w:pPr>
        <w:jc w:val="both"/>
        <w:rPr>
          <w:rFonts w:eastAsiaTheme="minorEastAsia"/>
          <w:b/>
          <w:szCs w:val="22"/>
          <w:lang w:val="fr-CA" w:eastAsia="en-US"/>
        </w:rPr>
      </w:pPr>
      <w:r>
        <w:rPr>
          <w:rFonts w:eastAsiaTheme="minorEastAsia"/>
          <w:b/>
          <w:szCs w:val="22"/>
          <w:lang w:val="fr-CA" w:eastAsia="en-US"/>
        </w:rPr>
        <w:t xml:space="preserve">                                                                                                                   ____________________</w:t>
      </w:r>
    </w:p>
    <w:p w14:paraId="5A11C358">
      <w:pPr>
        <w:spacing w:line="276" w:lineRule="auto"/>
        <w:contextualSpacing/>
        <w:rPr>
          <w:rFonts w:eastAsiaTheme="minorEastAsia"/>
          <w:b/>
          <w:sz w:val="18"/>
          <w:szCs w:val="16"/>
          <w:lang w:val="fr-CA" w:eastAsia="en-US"/>
        </w:rPr>
      </w:pPr>
      <w:r>
        <w:rPr>
          <w:rFonts w:eastAsiaTheme="minorEastAsia"/>
          <w:sz w:val="22"/>
          <w:szCs w:val="22"/>
          <w:lang w:val="ro-RO" w:eastAsia="en-US"/>
        </w:rPr>
        <w:t xml:space="preserve">                                                            </w:t>
      </w:r>
      <w:r>
        <w:rPr>
          <w:rFonts w:eastAsiaTheme="minorEastAsia"/>
          <w:sz w:val="22"/>
          <w:szCs w:val="22"/>
          <w:lang w:val="ro-RO" w:eastAsia="en-US"/>
        </w:rPr>
        <w:tab/>
      </w:r>
      <w:r>
        <w:rPr>
          <w:rFonts w:eastAsiaTheme="minorEastAsia"/>
          <w:sz w:val="22"/>
          <w:szCs w:val="22"/>
          <w:lang w:val="ro-RO" w:eastAsia="en-US"/>
        </w:rPr>
        <w:tab/>
      </w:r>
      <w:r>
        <w:rPr>
          <w:rFonts w:eastAsiaTheme="minorEastAsia"/>
          <w:sz w:val="22"/>
          <w:szCs w:val="22"/>
          <w:lang w:val="ro-RO" w:eastAsia="en-US"/>
        </w:rPr>
        <w:tab/>
      </w:r>
      <w:r>
        <w:rPr>
          <w:rFonts w:eastAsiaTheme="minorEastAsia"/>
          <w:sz w:val="22"/>
          <w:szCs w:val="22"/>
          <w:lang w:val="ro-RO" w:eastAsia="en-US"/>
        </w:rPr>
        <w:tab/>
      </w:r>
      <w:r>
        <w:rPr>
          <w:rFonts w:eastAsiaTheme="minorEastAsia"/>
          <w:sz w:val="22"/>
          <w:szCs w:val="22"/>
          <w:lang w:val="ro-RO" w:eastAsia="en-US"/>
        </w:rPr>
        <w:tab/>
      </w:r>
      <w:r>
        <w:rPr>
          <w:rFonts w:eastAsiaTheme="minorEastAsia"/>
          <w:sz w:val="22"/>
          <w:szCs w:val="22"/>
          <w:lang w:val="ro-RO" w:eastAsia="en-US"/>
        </w:rPr>
        <w:t xml:space="preserve">                                   </w:t>
      </w:r>
    </w:p>
    <w:p w14:paraId="06E44693">
      <w:pPr>
        <w:spacing w:line="276" w:lineRule="auto"/>
        <w:jc w:val="center"/>
        <w:rPr>
          <w:lang w:val="en-US"/>
        </w:rPr>
      </w:pPr>
      <w:bookmarkStart w:id="0" w:name="_Hlk163842963"/>
      <w:r>
        <w:rPr>
          <w:b/>
          <w:lang w:val="en-US"/>
        </w:rPr>
        <w:t>NOTĂ DE FUNDAMENTARE</w:t>
      </w:r>
    </w:p>
    <w:p w14:paraId="77ED9ECE">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Privind reorganizarea prin fuziune (absorbție)/lichidare</w:t>
      </w:r>
    </w:p>
    <w:p w14:paraId="57AC2AFF">
      <w:pPr>
        <w:keepNext w:val="0"/>
        <w:keepLines w:val="0"/>
        <w:widowControl/>
        <w:suppressLineNumbers w:val="0"/>
        <w:jc w:val="center"/>
        <w:rPr>
          <w:b/>
          <w:bCs/>
        </w:rPr>
      </w:pPr>
      <w:r>
        <w:rPr>
          <w:rFonts w:hint="default" w:ascii="Times New Roman" w:hAnsi="Times New Roman" w:eastAsia="SimSun" w:cs="Times New Roman"/>
          <w:b/>
          <w:bCs/>
          <w:color w:val="000000"/>
          <w:kern w:val="0"/>
          <w:sz w:val="24"/>
          <w:szCs w:val="24"/>
          <w:lang w:val="en-US" w:eastAsia="zh-CN" w:bidi="ar"/>
        </w:rPr>
        <w:t>a Instituției Publice Gimnaziul „Slobozia-Chișcăreni”</w:t>
      </w:r>
    </w:p>
    <w:tbl>
      <w:tblPr>
        <w:tblStyle w:val="12"/>
        <w:tblW w:w="5544"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104"/>
      </w:tblGrid>
      <w:tr w14:paraId="597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5D45CAB2">
            <w:pPr>
              <w:tabs>
                <w:tab w:val="left" w:pos="284"/>
                <w:tab w:val="left" w:pos="1196"/>
              </w:tabs>
              <w:jc w:val="both"/>
              <w:rPr>
                <w:b/>
                <w:color w:val="000000"/>
                <w:lang w:val="ro-RO"/>
              </w:rPr>
            </w:pPr>
            <w:r>
              <w:rPr>
                <w:b/>
                <w:color w:val="000000"/>
                <w:lang w:val="ro-RO"/>
              </w:rPr>
              <w:t>1.  Denumirea sau numele autorului şi, după caz, a/al participanţilor la elaborarea proiectului actului normativ</w:t>
            </w:r>
          </w:p>
        </w:tc>
      </w:tr>
      <w:tr w14:paraId="30D1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2"/>
          </w:tcPr>
          <w:p w14:paraId="4F6A01BB">
            <w:pPr>
              <w:spacing w:before="100" w:beforeAutospacing="1" w:after="100" w:afterAutospacing="1"/>
              <w:rPr>
                <w:color w:val="000000"/>
                <w:lang w:val="ro-RO"/>
              </w:rPr>
            </w:pPr>
            <w:r>
              <w:rPr>
                <w:lang w:val="ro-RO"/>
              </w:rPr>
              <w:t xml:space="preserve">    Proiectul de decizie  este elaborat de către Direcția Educație.</w:t>
            </w:r>
          </w:p>
        </w:tc>
      </w:tr>
      <w:tr w14:paraId="517E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000" w:type="pct"/>
            <w:gridSpan w:val="2"/>
          </w:tcPr>
          <w:p w14:paraId="681D9231">
            <w:pPr>
              <w:tabs>
                <w:tab w:val="left" w:pos="884"/>
                <w:tab w:val="left" w:pos="1196"/>
              </w:tabs>
              <w:jc w:val="both"/>
              <w:rPr>
                <w:b/>
                <w:color w:val="000000"/>
                <w:lang w:val="ro-RO"/>
              </w:rPr>
            </w:pPr>
            <w:r>
              <w:rPr>
                <w:b/>
                <w:color w:val="000000"/>
                <w:lang w:val="ro-RO"/>
              </w:rPr>
              <w:t>2. Condiţiile ce au impus elaborarea proiectului actului normativ</w:t>
            </w:r>
          </w:p>
        </w:tc>
      </w:tr>
      <w:tr w14:paraId="7C60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tcPr>
          <w:p w14:paraId="20429DE9">
            <w:pPr>
              <w:pStyle w:val="11"/>
              <w:keepNext w:val="0"/>
              <w:keepLines w:val="0"/>
              <w:widowControl/>
              <w:suppressLineNumbers w:val="0"/>
              <w:spacing w:before="0" w:beforeAutospacing="1" w:after="0" w:afterAutospacing="1"/>
              <w:ind w:left="0" w:right="0"/>
              <w:jc w:val="both"/>
            </w:pPr>
            <w:r>
              <w:t>Necesitatea reorganizării prin fuziune (absorbție) sau, după caz, a dizolvării cu derularea procedurii de lichidare a Instituției Publice Gimnaziul „Slobozia-Chișcăreni” din satul Slobozia-Chișcăreni, comuna Chișcăreni, raionul Sîngerei, rezultă din analiza situației demografice, educaționale și financiare a instituției.</w:t>
            </w:r>
            <w:r>
              <w:rPr>
                <w:rFonts w:hint="default"/>
                <w:lang w:val="ro-RO"/>
              </w:rPr>
              <w:t xml:space="preserve"> </w:t>
            </w:r>
            <w:r>
              <w:t>Numărul elevilor este în continuă descreștere, fapt ce nu permite asigurarea unei funcționări eficiente și sustenabile a instituției. În anul de studii 2025–2026 în instituție își fac studiile 92 de elevi, dintre care 38 de elevi în clasele I-IV și 54 de elevi în clasele V-IX.</w:t>
            </w:r>
            <w:r>
              <w:rPr>
                <w:rFonts w:hint="default"/>
                <w:lang w:val="ro-RO"/>
              </w:rPr>
              <w:t xml:space="preserve"> </w:t>
            </w:r>
            <w:r>
              <w:t>Datele privind natalitatea în localitate în perioada 2019–2023 confirmă tendința de reducere a populației școlare: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2101"/>
              <w:gridCol w:w="2101"/>
              <w:gridCol w:w="2101"/>
              <w:gridCol w:w="1982"/>
            </w:tblGrid>
            <w:tr w14:paraId="5D04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8" w:type="dxa"/>
                </w:tcPr>
                <w:p w14:paraId="522CB38A">
                  <w:pPr>
                    <w:jc w:val="center"/>
                    <w:rPr>
                      <w:rFonts w:eastAsia="Calibri"/>
                      <w:iCs/>
                      <w:lang w:val="ro-RO"/>
                    </w:rPr>
                  </w:pPr>
                  <w:r>
                    <w:rPr>
                      <w:rFonts w:eastAsia="Calibri"/>
                      <w:iCs/>
                      <w:lang w:val="ro-RO"/>
                    </w:rPr>
                    <w:t>2019</w:t>
                  </w:r>
                </w:p>
              </w:tc>
              <w:tc>
                <w:tcPr>
                  <w:tcW w:w="2137" w:type="dxa"/>
                </w:tcPr>
                <w:p w14:paraId="17F086E2">
                  <w:pPr>
                    <w:jc w:val="center"/>
                    <w:rPr>
                      <w:rFonts w:eastAsia="Calibri"/>
                      <w:iCs/>
                      <w:lang w:val="ro-RO"/>
                    </w:rPr>
                  </w:pPr>
                  <w:r>
                    <w:rPr>
                      <w:rFonts w:eastAsia="Calibri"/>
                      <w:iCs/>
                      <w:lang w:val="ro-RO"/>
                    </w:rPr>
                    <w:t>2020</w:t>
                  </w:r>
                </w:p>
              </w:tc>
              <w:tc>
                <w:tcPr>
                  <w:tcW w:w="2137" w:type="dxa"/>
                </w:tcPr>
                <w:p w14:paraId="0173461A">
                  <w:pPr>
                    <w:jc w:val="center"/>
                    <w:rPr>
                      <w:rFonts w:eastAsia="Calibri"/>
                      <w:iCs/>
                      <w:lang w:val="ro-RO"/>
                    </w:rPr>
                  </w:pPr>
                  <w:r>
                    <w:rPr>
                      <w:rFonts w:eastAsia="Calibri"/>
                      <w:iCs/>
                      <w:lang w:val="ro-RO"/>
                    </w:rPr>
                    <w:t>2021</w:t>
                  </w:r>
                </w:p>
              </w:tc>
              <w:tc>
                <w:tcPr>
                  <w:tcW w:w="2137" w:type="dxa"/>
                </w:tcPr>
                <w:p w14:paraId="3E54F730">
                  <w:pPr>
                    <w:jc w:val="center"/>
                    <w:rPr>
                      <w:rFonts w:eastAsia="Calibri"/>
                      <w:iCs/>
                      <w:lang w:val="ro-RO"/>
                    </w:rPr>
                  </w:pPr>
                  <w:r>
                    <w:rPr>
                      <w:rFonts w:eastAsia="Calibri"/>
                      <w:iCs/>
                      <w:lang w:val="ro-RO"/>
                    </w:rPr>
                    <w:t>2022</w:t>
                  </w:r>
                </w:p>
              </w:tc>
              <w:tc>
                <w:tcPr>
                  <w:tcW w:w="2015" w:type="dxa"/>
                </w:tcPr>
                <w:p w14:paraId="5C9BB890">
                  <w:pPr>
                    <w:jc w:val="center"/>
                    <w:rPr>
                      <w:rFonts w:eastAsia="Calibri"/>
                      <w:iCs/>
                      <w:lang w:val="ro-RO"/>
                    </w:rPr>
                  </w:pPr>
                  <w:r>
                    <w:rPr>
                      <w:rFonts w:eastAsia="Calibri"/>
                      <w:iCs/>
                      <w:lang w:val="ro-RO"/>
                    </w:rPr>
                    <w:t>2023</w:t>
                  </w:r>
                </w:p>
              </w:tc>
            </w:tr>
            <w:tr w14:paraId="6E99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8" w:type="dxa"/>
                </w:tcPr>
                <w:p w14:paraId="0CE0BFD8">
                  <w:pPr>
                    <w:jc w:val="center"/>
                    <w:rPr>
                      <w:rFonts w:eastAsia="Calibri"/>
                      <w:iCs/>
                      <w:lang w:val="ro-RO"/>
                    </w:rPr>
                  </w:pPr>
                  <w:r>
                    <w:rPr>
                      <w:rFonts w:eastAsia="Calibri"/>
                      <w:iCs/>
                      <w:lang w:val="ro-RO"/>
                    </w:rPr>
                    <w:t>4</w:t>
                  </w:r>
                </w:p>
              </w:tc>
              <w:tc>
                <w:tcPr>
                  <w:tcW w:w="2137" w:type="dxa"/>
                </w:tcPr>
                <w:p w14:paraId="252C8727">
                  <w:pPr>
                    <w:jc w:val="center"/>
                    <w:rPr>
                      <w:rFonts w:eastAsia="Calibri"/>
                      <w:iCs/>
                      <w:lang w:val="ro-RO"/>
                    </w:rPr>
                  </w:pPr>
                  <w:r>
                    <w:rPr>
                      <w:rFonts w:eastAsia="Calibri"/>
                      <w:iCs/>
                      <w:lang w:val="ro-RO"/>
                    </w:rPr>
                    <w:t>3</w:t>
                  </w:r>
                </w:p>
              </w:tc>
              <w:tc>
                <w:tcPr>
                  <w:tcW w:w="2137" w:type="dxa"/>
                </w:tcPr>
                <w:p w14:paraId="3849BA29">
                  <w:pPr>
                    <w:jc w:val="center"/>
                    <w:rPr>
                      <w:rFonts w:eastAsia="Calibri"/>
                      <w:iCs/>
                      <w:lang w:val="ro-RO"/>
                    </w:rPr>
                  </w:pPr>
                  <w:r>
                    <w:rPr>
                      <w:rFonts w:eastAsia="Calibri"/>
                      <w:iCs/>
                      <w:lang w:val="ro-RO"/>
                    </w:rPr>
                    <w:t>3</w:t>
                  </w:r>
                </w:p>
              </w:tc>
              <w:tc>
                <w:tcPr>
                  <w:tcW w:w="2137" w:type="dxa"/>
                </w:tcPr>
                <w:p w14:paraId="7F778C4F">
                  <w:pPr>
                    <w:jc w:val="center"/>
                    <w:rPr>
                      <w:rFonts w:eastAsia="Calibri"/>
                      <w:iCs/>
                      <w:lang w:val="ro-RO"/>
                    </w:rPr>
                  </w:pPr>
                  <w:r>
                    <w:rPr>
                      <w:rFonts w:eastAsia="Calibri"/>
                      <w:iCs/>
                      <w:lang w:val="ro-RO"/>
                    </w:rPr>
                    <w:t>5</w:t>
                  </w:r>
                </w:p>
              </w:tc>
              <w:tc>
                <w:tcPr>
                  <w:tcW w:w="2015" w:type="dxa"/>
                </w:tcPr>
                <w:p w14:paraId="284EB59A">
                  <w:pPr>
                    <w:jc w:val="center"/>
                    <w:rPr>
                      <w:rFonts w:eastAsia="Calibri"/>
                      <w:iCs/>
                      <w:lang w:val="ro-RO"/>
                    </w:rPr>
                  </w:pPr>
                  <w:r>
                    <w:rPr>
                      <w:rFonts w:eastAsia="Calibri"/>
                      <w:iCs/>
                      <w:lang w:val="ro-RO"/>
                    </w:rPr>
                    <w:t>1</w:t>
                  </w:r>
                </w:p>
              </w:tc>
            </w:tr>
          </w:tbl>
          <w:p w14:paraId="34F9F12B">
            <w:pPr>
              <w:pStyle w:val="11"/>
              <w:keepNext w:val="0"/>
              <w:keepLines w:val="0"/>
              <w:widowControl/>
              <w:suppressLineNumbers w:val="0"/>
              <w:spacing w:before="0" w:beforeAutospacing="1" w:after="0" w:afterAutospacing="1"/>
              <w:ind w:left="0" w:right="0"/>
            </w:pPr>
            <w:r>
              <w:t>Situația financiară a instituției indică imposibilitatea asigurării sustenabilității acesteia din resursele calculate conform formulei de finanțare per elev:</w:t>
            </w:r>
          </w:p>
          <w:p w14:paraId="373AA91D">
            <w:pPr>
              <w:keepNext w:val="0"/>
              <w:keepLines w:val="0"/>
              <w:widowControl/>
              <w:numPr>
                <w:ilvl w:val="0"/>
                <w:numId w:val="1"/>
              </w:numPr>
              <w:suppressLineNumbers w:val="0"/>
              <w:spacing w:before="0" w:beforeAutospacing="1" w:after="0" w:afterAutospacing="1"/>
              <w:ind w:left="720" w:hanging="360"/>
            </w:pPr>
            <w:r>
              <w:t>Buget calculat conform formulei de finanțare pentru anul 2026 – 3 069,5 mii lei;</w:t>
            </w:r>
          </w:p>
          <w:p w14:paraId="61F6F3AD">
            <w:pPr>
              <w:keepNext w:val="0"/>
              <w:keepLines w:val="0"/>
              <w:widowControl/>
              <w:numPr>
                <w:ilvl w:val="0"/>
                <w:numId w:val="1"/>
              </w:numPr>
              <w:suppressLineNumbers w:val="0"/>
              <w:spacing w:before="0" w:beforeAutospacing="1" w:after="0" w:afterAutospacing="1"/>
              <w:ind w:left="720" w:hanging="360"/>
            </w:pPr>
            <w:r>
              <w:t>Necesitatea financiară estimată pentru funcționarea instituției – 4 262,8 mii lei;</w:t>
            </w:r>
          </w:p>
          <w:p w14:paraId="24E3C210">
            <w:pPr>
              <w:keepNext w:val="0"/>
              <w:keepLines w:val="0"/>
              <w:widowControl/>
              <w:numPr>
                <w:ilvl w:val="0"/>
                <w:numId w:val="1"/>
              </w:numPr>
              <w:suppressLineNumbers w:val="0"/>
              <w:spacing w:before="0" w:beforeAutospacing="1" w:after="0" w:afterAutospacing="1"/>
              <w:ind w:left="720" w:hanging="360"/>
            </w:pPr>
            <w:r>
              <w:t>Deficit bugetar estimat – 1 193,3 mii lei.</w:t>
            </w:r>
          </w:p>
          <w:p w14:paraId="22B7B329">
            <w:pPr>
              <w:pStyle w:val="11"/>
              <w:keepNext w:val="0"/>
              <w:keepLines w:val="0"/>
              <w:widowControl/>
              <w:suppressLineNumbers w:val="0"/>
              <w:spacing w:before="0" w:beforeAutospacing="1" w:after="0" w:afterAutospacing="1"/>
              <w:ind w:left="0" w:right="0"/>
              <w:jc w:val="both"/>
              <w:rPr>
                <w:lang w:val="ro-RO"/>
              </w:rPr>
            </w:pPr>
            <w:r>
              <w:t>În aceste condiții, menținerea instituției generează cheltuieli disproporționate raportate la numărul de elevi și afectează eficiența utilizării resurselor publice.</w:t>
            </w:r>
            <w:r>
              <w:rPr>
                <w:rFonts w:hint="default"/>
                <w:lang w:val="ro-RO"/>
              </w:rPr>
              <w:t xml:space="preserve"> </w:t>
            </w:r>
            <w:r>
              <w:t>În vederea asigurării accesului elevilor la servicii educaționale de calitate și utilizării eficiente a resurs</w:t>
            </w:r>
            <w:bookmarkStart w:id="1" w:name="_GoBack"/>
            <w:bookmarkEnd w:id="1"/>
            <w:r>
              <w:t>elor financiare, Direcția Educație propune inițierea procedurii de reorganizare prin fuziune (absorbție) a Instituției Publice Gimnaziul „Slobozia-Chișcăreni” cu Instituția Publică Liceul Teoretic „Nicolae Casso” din comuna Chișcăreni sau, după caz, dizolvarea cu derularea procedurii de lichidare a instituției.</w:t>
            </w:r>
            <w:r>
              <w:rPr>
                <w:rFonts w:hint="default"/>
                <w:lang w:val="ro-RO"/>
              </w:rPr>
              <w:t xml:space="preserve"> </w:t>
            </w:r>
            <w:r>
              <w:t>Opțiunea finală urmează să fie stabilită după finalizarea procesului de consultare cu autoritatea administrației publice locale, colectivul instituției, părinții și reprezentanții legali ai elevilor, precum și cu alte părți interesate, în condițiile legislației în vigoare.</w:t>
            </w:r>
            <w:r>
              <w:rPr>
                <w:rFonts w:hint="default"/>
                <w:lang w:val="ro-RO"/>
              </w:rPr>
              <w:t xml:space="preserve"> </w:t>
            </w:r>
            <w:r>
              <w:t>În cazul reorganizării prin fuziune (absorbție) sau al lichidării instituției, elevii vor fi transferați la Instituția Publică Liceul Teoretic „Nicolae Casso” din comuna Chișcăreni, cu respectarea dreptului la educație și a prevederilor legale aplicabile.</w:t>
            </w:r>
            <w:r>
              <w:rPr>
                <w:rFonts w:hint="default"/>
                <w:lang w:val="ro-RO"/>
              </w:rPr>
              <w:t xml:space="preserve"> </w:t>
            </w:r>
            <w:r>
              <w:t>Procedura urmează să fie realizată începând cu data de 01 septembrie 2026, pentru a permite respectarea termenelor și procedurilor legale privind transferul elevilor, gestionarea patrimoniului și aplicarea prevederilor art. 88, art. 88¹ și art. 184 alin. (1) lit. a) din Codul muncii al Republicii Moldova nr. 154/2003.</w:t>
            </w:r>
          </w:p>
        </w:tc>
      </w:tr>
      <w:tr w14:paraId="7133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01D5ADE">
            <w:pPr>
              <w:tabs>
                <w:tab w:val="left" w:pos="884"/>
                <w:tab w:val="left" w:pos="1196"/>
              </w:tabs>
              <w:jc w:val="both"/>
              <w:rPr>
                <w:b/>
                <w:color w:val="000000"/>
                <w:lang w:val="ro-RO"/>
              </w:rPr>
            </w:pPr>
            <w:r>
              <w:rPr>
                <w:b/>
                <w:color w:val="000000"/>
                <w:lang w:val="ro-RO"/>
              </w:rPr>
              <w:t>3. Obiectivele urmărite și soluțiile propuse</w:t>
            </w:r>
          </w:p>
        </w:tc>
      </w:tr>
      <w:tr w14:paraId="6518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2"/>
          </w:tcPr>
          <w:p w14:paraId="6B1A255B">
            <w:pPr>
              <w:jc w:val="both"/>
              <w:rPr>
                <w:rFonts w:eastAsia="Calibri"/>
                <w:iCs/>
                <w:lang w:val="ro-RO"/>
              </w:rPr>
            </w:pPr>
            <w:r>
              <w:rPr>
                <w:color w:val="000000"/>
                <w:lang w:val="ro-RO"/>
              </w:rPr>
              <w:t xml:space="preserve">  </w:t>
            </w:r>
            <w:r>
              <w:rPr>
                <w:lang w:val="ro-RO"/>
              </w:rPr>
              <w:t xml:space="preserve">Proiectul de decizie este elaborat în temeiul prevederilor </w:t>
            </w:r>
            <w:r>
              <w:rPr>
                <w:lang w:val="zh-CN"/>
              </w:rPr>
              <w:t>art. 43 alin. (2) al Legii privind administrația publică locală nr. 436/2006, art. 21 alin. (1), art. 141 alin. (1) lit. j)</w:t>
            </w:r>
            <w:r>
              <w:rPr>
                <w:rFonts w:hint="default"/>
                <w:lang w:val="ro-RO"/>
              </w:rPr>
              <w:t>, art. 145</w:t>
            </w:r>
            <w:r>
              <w:rPr>
                <w:rFonts w:hint="default"/>
                <w:vertAlign w:val="superscript"/>
                <w:lang w:val="ro-RO"/>
              </w:rPr>
              <w:t xml:space="preserve">1 </w:t>
            </w:r>
            <w:r>
              <w:rPr>
                <w:rFonts w:hint="default"/>
                <w:vertAlign w:val="baseline"/>
                <w:lang w:val="ro-RO"/>
              </w:rPr>
              <w:t>alin. (13)</w:t>
            </w:r>
            <w:r>
              <w:rPr>
                <w:lang w:val="zh-CN"/>
              </w:rPr>
              <w:t xml:space="preserve"> din Codul Educației al Republicii Moldova nr. 152/2014, art. 88, art. 88</w:t>
            </w:r>
            <w:r>
              <w:rPr>
                <w:vertAlign w:val="superscript"/>
                <w:lang w:val="zh-CN"/>
              </w:rPr>
              <w:t>1</w:t>
            </w:r>
            <w:r>
              <w:rPr>
                <w:lang w:val="zh-CN"/>
              </w:rPr>
              <w:t xml:space="preserve"> și art. 184 alin. (1) lit. a) din Codul Muncii al Republicii Moldova nr. 154/2003, Codul Civil al Republicii Moldova nr. 1107/2002</w:t>
            </w:r>
          </w:p>
        </w:tc>
      </w:tr>
      <w:tr w14:paraId="1EF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Pr>
          <w:p w14:paraId="670AA8E1">
            <w:pPr>
              <w:spacing w:before="100" w:beforeAutospacing="1" w:after="100" w:afterAutospacing="1"/>
              <w:jc w:val="both"/>
              <w:rPr>
                <w:b/>
                <w:color w:val="000000"/>
                <w:lang w:val="ro-RO"/>
              </w:rPr>
            </w:pPr>
            <w:r>
              <w:rPr>
                <w:b/>
                <w:color w:val="000000"/>
                <w:lang w:val="ro-RO"/>
              </w:rPr>
              <w:t>4. Analiza impactului de reglementare</w:t>
            </w:r>
          </w:p>
        </w:tc>
      </w:tr>
      <w:tr w14:paraId="0B96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2"/>
          </w:tcPr>
          <w:p w14:paraId="04B41504">
            <w:pPr>
              <w:tabs>
                <w:tab w:val="left" w:pos="273"/>
              </w:tabs>
              <w:jc w:val="both"/>
              <w:rPr>
                <w:rFonts w:eastAsia="Calibri"/>
                <w:color w:val="000000"/>
                <w:lang w:val="ro-RO"/>
              </w:rPr>
            </w:pPr>
            <w:r>
              <w:rPr>
                <w:rFonts w:eastAsia="Calibri"/>
                <w:lang w:val="ro-RO"/>
              </w:rPr>
              <w:t>Proiectul de decizie nu necesită alocarea unor surse financiare bugetului CR.</w:t>
            </w:r>
          </w:p>
        </w:tc>
      </w:tr>
      <w:tr w14:paraId="1D55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3788FCC4">
            <w:pPr>
              <w:rPr>
                <w:color w:val="000000"/>
                <w:lang w:val="ro-RO"/>
              </w:rPr>
            </w:pPr>
            <w:r>
              <w:rPr>
                <w:rFonts w:eastAsia="Calibri"/>
                <w:b/>
                <w:color w:val="000000"/>
                <w:lang w:val="ro-RO"/>
              </w:rPr>
              <w:t xml:space="preserve">5. Compatibilitatea proiectului actului normative cu legislația UE - </w:t>
            </w:r>
            <w:r>
              <w:rPr>
                <w:rFonts w:eastAsia="Calibri"/>
                <w:color w:val="000000"/>
                <w:lang w:val="ro-RO"/>
              </w:rPr>
              <w:t>„Nu este aplicabil”.</w:t>
            </w:r>
          </w:p>
        </w:tc>
      </w:tr>
      <w:tr w14:paraId="4DF5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7A955548">
            <w:pPr>
              <w:rPr>
                <w:rFonts w:eastAsia="Calibri"/>
                <w:b/>
                <w:color w:val="000000"/>
                <w:lang w:val="ro-RO"/>
              </w:rPr>
            </w:pPr>
            <w:r>
              <w:rPr>
                <w:rFonts w:eastAsia="Calibri"/>
                <w:b/>
                <w:color w:val="000000"/>
                <w:lang w:val="ro-RO"/>
              </w:rPr>
              <w:t xml:space="preserve">6. Avizarea și consultarea publică a proiectului actului normative - </w:t>
            </w:r>
            <w:r>
              <w:rPr>
                <w:rFonts w:eastAsia="Calibri"/>
                <w:color w:val="000000"/>
                <w:lang w:val="ro-RO"/>
              </w:rPr>
              <w:t>este aplicabilă, întrucât proiectul a fost consultat cu APL de nivelul I , părinții și reprezentanți legali ai elevilor.</w:t>
            </w:r>
          </w:p>
        </w:tc>
      </w:tr>
      <w:tr w14:paraId="55B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5000" w:type="pct"/>
            <w:gridSpan w:val="2"/>
          </w:tcPr>
          <w:p w14:paraId="650396DC">
            <w:pPr>
              <w:rPr>
                <w:rFonts w:eastAsia="Calibri"/>
                <w:b/>
                <w:color w:val="000000"/>
                <w:lang w:val="ro-RO"/>
              </w:rPr>
            </w:pPr>
            <w:r>
              <w:rPr>
                <w:rFonts w:eastAsia="Calibri"/>
                <w:b/>
                <w:color w:val="000000"/>
                <w:lang w:val="ro-RO"/>
              </w:rPr>
              <w:t xml:space="preserve">7. Concluziile expertizelor - </w:t>
            </w:r>
            <w:r>
              <w:rPr>
                <w:rFonts w:eastAsia="Calibri"/>
                <w:color w:val="000000"/>
                <w:lang w:val="ro-RO"/>
              </w:rPr>
              <w:t>„Nu este aplicabil”.</w:t>
            </w:r>
          </w:p>
        </w:tc>
      </w:tr>
      <w:tr w14:paraId="7D0C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000" w:type="pct"/>
            <w:gridSpan w:val="2"/>
          </w:tcPr>
          <w:p w14:paraId="29214978">
            <w:pPr>
              <w:tabs>
                <w:tab w:val="left" w:pos="884"/>
                <w:tab w:val="left" w:pos="1196"/>
              </w:tabs>
              <w:jc w:val="both"/>
              <w:rPr>
                <w:b/>
                <w:color w:val="000000"/>
                <w:lang w:val="ro-RO"/>
              </w:rPr>
            </w:pPr>
            <w:r>
              <w:rPr>
                <w:b/>
                <w:color w:val="000000"/>
                <w:lang w:val="ro-RO"/>
              </w:rPr>
              <w:t xml:space="preserve">8. Modul de încorporare a actului în cadrul normativ existent </w:t>
            </w:r>
          </w:p>
        </w:tc>
      </w:tr>
      <w:tr w14:paraId="3FDE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00" w:type="pct"/>
            <w:gridSpan w:val="2"/>
          </w:tcPr>
          <w:p w14:paraId="5A27B1D6">
            <w:pPr>
              <w:tabs>
                <w:tab w:val="left" w:pos="884"/>
                <w:tab w:val="left" w:pos="1196"/>
              </w:tabs>
              <w:jc w:val="both"/>
              <w:rPr>
                <w:color w:val="000000"/>
                <w:lang w:val="ro-RO"/>
              </w:rPr>
            </w:pPr>
            <w:r>
              <w:rPr>
                <w:color w:val="000000"/>
                <w:lang w:val="ro-RO"/>
              </w:rPr>
              <w:t>Proiectul de decizie se încadrează în cadrul normativ existent și se emite în temeiul legislației în vigoare, fără a necesita modificarea sau abrogarea altor acte normative.</w:t>
            </w:r>
          </w:p>
        </w:tc>
      </w:tr>
      <w:tr w14:paraId="447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5000" w:type="pct"/>
            <w:gridSpan w:val="2"/>
            <w:tcBorders>
              <w:bottom w:val="single" w:color="auto" w:sz="4" w:space="0"/>
            </w:tcBorders>
          </w:tcPr>
          <w:p w14:paraId="4D8362E7">
            <w:pPr>
              <w:tabs>
                <w:tab w:val="left" w:pos="884"/>
                <w:tab w:val="left" w:pos="1196"/>
              </w:tabs>
              <w:jc w:val="both"/>
              <w:rPr>
                <w:color w:val="000000"/>
                <w:lang w:val="ro-RO"/>
              </w:rPr>
            </w:pPr>
            <w:r>
              <w:rPr>
                <w:b/>
                <w:color w:val="000000"/>
                <w:lang w:val="ro-RO"/>
              </w:rPr>
              <w:t xml:space="preserve">9. Măsurile necesare pentru implementarea prevederilor proiectului actului normativ - </w:t>
            </w:r>
            <w:r>
              <w:rPr>
                <w:color w:val="000000"/>
                <w:lang w:val="ro-RO"/>
              </w:rPr>
              <w:t>„Nu este aplicabil”.</w:t>
            </w:r>
          </w:p>
        </w:tc>
      </w:tr>
      <w:tr w14:paraId="3C1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pct"/>
            <w:tcBorders>
              <w:left w:val="nil"/>
              <w:bottom w:val="nil"/>
              <w:right w:val="nil"/>
            </w:tcBorders>
          </w:tcPr>
          <w:p w14:paraId="7E88E8AF">
            <w:pPr>
              <w:contextualSpacing/>
              <w:rPr>
                <w:lang w:val="ro-RO"/>
              </w:rPr>
            </w:pPr>
          </w:p>
          <w:p w14:paraId="65537017">
            <w:pPr>
              <w:contextualSpacing/>
              <w:rPr>
                <w:lang w:val="ro-RO"/>
              </w:rPr>
            </w:pPr>
          </w:p>
          <w:p w14:paraId="4D001F8F">
            <w:pPr>
              <w:contextualSpacing/>
              <w:rPr>
                <w:lang w:val="it-IT"/>
              </w:rPr>
            </w:pPr>
            <w:r>
              <w:rPr>
                <w:lang w:val="ro-RO"/>
              </w:rPr>
              <w:t>Întocmit</w:t>
            </w:r>
          </w:p>
          <w:p w14:paraId="18C79ECC">
            <w:pPr>
              <w:contextualSpacing/>
              <w:rPr>
                <w:b/>
                <w:lang w:val="ro-RO"/>
              </w:rPr>
            </w:pPr>
            <w:r>
              <w:rPr>
                <w:b/>
                <w:lang w:val="ro-RO"/>
              </w:rPr>
              <w:t>Șef Direcția Educație</w:t>
            </w:r>
          </w:p>
          <w:p w14:paraId="3D23B686">
            <w:pPr>
              <w:contextualSpacing/>
              <w:rPr>
                <w:lang w:val="it-IT"/>
              </w:rPr>
            </w:pPr>
            <w:r>
              <w:rPr>
                <w:lang w:val="it-IT"/>
              </w:rPr>
              <w:t>Nicolae MELINTE</w:t>
            </w:r>
          </w:p>
          <w:p w14:paraId="1E1E1849">
            <w:pPr>
              <w:rPr>
                <w:lang w:val="ro-RO"/>
              </w:rPr>
            </w:pPr>
            <w:r>
              <w:rPr>
                <w:lang w:val="it-IT"/>
              </w:rPr>
              <w:t>_________________________</w:t>
            </w:r>
          </w:p>
        </w:tc>
        <w:tc>
          <w:tcPr>
            <w:tcW w:w="2405" w:type="pct"/>
            <w:tcBorders>
              <w:left w:val="nil"/>
              <w:bottom w:val="nil"/>
              <w:right w:val="nil"/>
            </w:tcBorders>
          </w:tcPr>
          <w:p w14:paraId="039667B0">
            <w:pPr>
              <w:rPr>
                <w:lang w:val="ro-RO"/>
              </w:rPr>
            </w:pPr>
          </w:p>
        </w:tc>
      </w:tr>
    </w:tbl>
    <w:p w14:paraId="79F79207">
      <w:r>
        <w:br w:type="page"/>
      </w:r>
    </w:p>
    <w:tbl>
      <w:tblPr>
        <w:tblStyle w:val="5"/>
        <w:tblpPr w:leftFromText="180" w:rightFromText="180" w:vertAnchor="page" w:horzAnchor="margin" w:tblpY="241"/>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655"/>
        <w:gridCol w:w="1619"/>
      </w:tblGrid>
      <w:tr w14:paraId="7696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701" w:type="dxa"/>
            <w:tcBorders>
              <w:top w:val="nil"/>
              <w:left w:val="nil"/>
              <w:bottom w:val="single" w:color="auto" w:sz="4" w:space="0"/>
              <w:right w:val="nil"/>
            </w:tcBorders>
          </w:tcPr>
          <w:p w14:paraId="01F21CA8">
            <w:pPr>
              <w:spacing w:after="200" w:line="276" w:lineRule="auto"/>
              <w:contextualSpacing/>
              <w:rPr>
                <w:b/>
                <w:sz w:val="28"/>
                <w:lang w:val="en-US" w:eastAsia="en-US"/>
              </w:rPr>
            </w:pPr>
          </w:p>
          <w:p w14:paraId="4041F880">
            <w:pPr>
              <w:spacing w:after="200" w:line="276" w:lineRule="auto"/>
              <w:contextualSpacing/>
              <w:rPr>
                <w:rFonts w:eastAsiaTheme="minorEastAsia"/>
                <w:sz w:val="22"/>
                <w:szCs w:val="22"/>
                <w:lang w:val="en-US" w:eastAsia="en-US"/>
              </w:rPr>
            </w:pPr>
            <w:r>
              <w:rPr>
                <w:rFonts w:asciiTheme="minorHAnsi" w:hAnsiTheme="minorHAnsi" w:eastAsiaTheme="minorEastAsia" w:cstheme="minorBidi"/>
                <w:sz w:val="22"/>
                <w:szCs w:val="22"/>
              </w:rPr>
              <w:drawing>
                <wp:anchor distT="0" distB="0" distL="114300" distR="114300" simplePos="0" relativeHeight="251659264" behindDoc="0" locked="0" layoutInCell="1" allowOverlap="0">
                  <wp:simplePos x="0" y="0"/>
                  <wp:positionH relativeFrom="margin">
                    <wp:posOffset>116205</wp:posOffset>
                  </wp:positionH>
                  <wp:positionV relativeFrom="margin">
                    <wp:posOffset>224790</wp:posOffset>
                  </wp:positionV>
                  <wp:extent cx="569595" cy="689610"/>
                  <wp:effectExtent l="19050" t="0" r="1905" b="0"/>
                  <wp:wrapNone/>
                  <wp:docPr id="991713589" name="Рисунок 9917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3589" name="Рисунок 991713589"/>
                          <pic:cNvPicPr>
                            <a:picLocks noChangeAspect="1" noChangeArrowheads="1"/>
                          </pic:cNvPicPr>
                        </pic:nvPicPr>
                        <pic:blipFill>
                          <a:blip r:embed="rId6"/>
                          <a:srcRect/>
                          <a:stretch>
                            <a:fillRect/>
                          </a:stretch>
                        </pic:blipFill>
                        <pic:spPr>
                          <a:xfrm>
                            <a:off x="0" y="0"/>
                            <a:ext cx="569595" cy="689610"/>
                          </a:xfrm>
                          <a:prstGeom prst="rect">
                            <a:avLst/>
                          </a:prstGeom>
                          <a:noFill/>
                        </pic:spPr>
                      </pic:pic>
                    </a:graphicData>
                  </a:graphic>
                </wp:anchor>
              </w:drawing>
            </w:r>
          </w:p>
        </w:tc>
        <w:tc>
          <w:tcPr>
            <w:tcW w:w="6655" w:type="dxa"/>
            <w:tcBorders>
              <w:top w:val="nil"/>
              <w:left w:val="nil"/>
              <w:bottom w:val="single" w:color="auto" w:sz="4" w:space="0"/>
              <w:right w:val="nil"/>
            </w:tcBorders>
          </w:tcPr>
          <w:p w14:paraId="3DE72B6E">
            <w:pPr>
              <w:spacing w:after="200" w:line="276" w:lineRule="auto"/>
              <w:contextualSpacing/>
              <w:rPr>
                <w:lang w:val="en-US" w:eastAsia="en-US"/>
              </w:rPr>
            </w:pPr>
          </w:p>
          <w:p w14:paraId="6879FF23">
            <w:pPr>
              <w:keepNext/>
              <w:contextualSpacing/>
              <w:jc w:val="center"/>
              <w:outlineLvl w:val="0"/>
              <w:rPr>
                <w:rFonts w:eastAsiaTheme="minorEastAsia"/>
                <w:b/>
                <w:lang w:val="it-IT" w:eastAsia="en-US"/>
              </w:rPr>
            </w:pPr>
            <w:r>
              <w:rPr>
                <w:rFonts w:eastAsiaTheme="minorEastAsia"/>
                <w:b/>
                <w:lang w:val="it-IT" w:eastAsia="en-US"/>
              </w:rPr>
              <w:t>REPUBLICA  MOLDOVA</w:t>
            </w:r>
          </w:p>
          <w:p w14:paraId="2B3DDC4D">
            <w:pPr>
              <w:keepNext/>
              <w:contextualSpacing/>
              <w:jc w:val="center"/>
              <w:outlineLvl w:val="0"/>
              <w:rPr>
                <w:rFonts w:eastAsiaTheme="minorEastAsia"/>
                <w:b/>
                <w:sz w:val="16"/>
                <w:szCs w:val="16"/>
                <w:lang w:val="it-IT" w:eastAsia="en-US"/>
              </w:rPr>
            </w:pPr>
          </w:p>
          <w:p w14:paraId="7F392FBD">
            <w:pPr>
              <w:keepNext/>
              <w:contextualSpacing/>
              <w:jc w:val="center"/>
              <w:outlineLvl w:val="0"/>
              <w:rPr>
                <w:rFonts w:eastAsiaTheme="minorEastAsia"/>
                <w:b/>
                <w:sz w:val="22"/>
                <w:szCs w:val="22"/>
                <w:lang w:val="ro-RO" w:eastAsia="en-US"/>
              </w:rPr>
            </w:pPr>
            <w:r>
              <w:rPr>
                <w:rFonts w:eastAsiaTheme="minorEastAsia"/>
                <w:b/>
                <w:lang w:val="it-IT" w:eastAsia="en-US"/>
              </w:rPr>
              <w:t xml:space="preserve">CONSILIUL  RAIONAL  </w:t>
            </w:r>
            <w:r>
              <w:rPr>
                <w:rFonts w:eastAsiaTheme="minorEastAsia"/>
                <w:b/>
                <w:sz w:val="22"/>
                <w:szCs w:val="22"/>
                <w:lang w:val="it-IT" w:eastAsia="en-US"/>
              </w:rPr>
              <w:t>S</w:t>
            </w:r>
            <w:r>
              <w:rPr>
                <w:rFonts w:eastAsiaTheme="minorEastAsia"/>
                <w:b/>
                <w:sz w:val="22"/>
                <w:szCs w:val="22"/>
                <w:lang w:val="ro-RO" w:eastAsia="en-US"/>
              </w:rPr>
              <w:t>ÎNGEREI</w:t>
            </w:r>
          </w:p>
          <w:p w14:paraId="4FE96796">
            <w:pPr>
              <w:keepNext/>
              <w:contextualSpacing/>
              <w:jc w:val="center"/>
              <w:outlineLvl w:val="0"/>
              <w:rPr>
                <w:rFonts w:eastAsiaTheme="minorEastAsia"/>
                <w:b/>
                <w:sz w:val="22"/>
                <w:szCs w:val="22"/>
                <w:lang w:val="ro-RO" w:eastAsia="en-US"/>
              </w:rPr>
            </w:pPr>
          </w:p>
          <w:p w14:paraId="4837BE22">
            <w:pPr>
              <w:keepNext/>
              <w:contextualSpacing/>
              <w:jc w:val="center"/>
              <w:outlineLvl w:val="0"/>
              <w:rPr>
                <w:rFonts w:eastAsiaTheme="minorEastAsia"/>
                <w:b/>
                <w:lang w:val="it-IT" w:eastAsia="en-US"/>
              </w:rPr>
            </w:pPr>
            <w:r>
              <w:rPr>
                <w:rFonts w:eastAsiaTheme="minorEastAsia"/>
                <w:b/>
                <w:sz w:val="22"/>
                <w:szCs w:val="22"/>
                <w:lang w:val="ro-RO" w:eastAsia="en-US"/>
              </w:rPr>
              <w:t>PREȘEDINTELE  RAIONULUI</w:t>
            </w:r>
          </w:p>
          <w:p w14:paraId="1D85F39F">
            <w:pPr>
              <w:spacing w:after="200"/>
              <w:contextualSpacing/>
              <w:jc w:val="center"/>
              <w:rPr>
                <w:rFonts w:eastAsiaTheme="minorEastAsia"/>
                <w:lang w:val="it-IT" w:eastAsia="en-US"/>
              </w:rPr>
            </w:pPr>
          </w:p>
        </w:tc>
        <w:tc>
          <w:tcPr>
            <w:tcW w:w="1619" w:type="dxa"/>
            <w:tcBorders>
              <w:top w:val="nil"/>
              <w:left w:val="nil"/>
              <w:bottom w:val="single" w:color="auto" w:sz="4" w:space="0"/>
              <w:right w:val="nil"/>
            </w:tcBorders>
          </w:tcPr>
          <w:p w14:paraId="36DFE95D">
            <w:pPr>
              <w:spacing w:after="200" w:line="276" w:lineRule="auto"/>
              <w:contextualSpacing/>
              <w:jc w:val="center"/>
              <w:rPr>
                <w:lang w:val="it-IT" w:eastAsia="en-US"/>
              </w:rPr>
            </w:pPr>
            <w:r>
              <w:rPr>
                <w:rFonts w:asciiTheme="minorHAnsi" w:hAnsiTheme="minorHAnsi" w:eastAsiaTheme="minorEastAsia" w:cstheme="minorBidi"/>
                <w:sz w:val="22"/>
                <w:szCs w:val="22"/>
              </w:rPr>
              <w:drawing>
                <wp:anchor distT="0" distB="0" distL="114300" distR="114300" simplePos="0" relativeHeight="251660288" behindDoc="1" locked="0" layoutInCell="1" allowOverlap="1">
                  <wp:simplePos x="0" y="0"/>
                  <wp:positionH relativeFrom="column">
                    <wp:posOffset>5372100</wp:posOffset>
                  </wp:positionH>
                  <wp:positionV relativeFrom="paragraph">
                    <wp:posOffset>114300</wp:posOffset>
                  </wp:positionV>
                  <wp:extent cx="687070" cy="866140"/>
                  <wp:effectExtent l="19050" t="0" r="0" b="0"/>
                  <wp:wrapNone/>
                  <wp:docPr id="645908929" name="Рисунок 64590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929" name="Рисунок 645908929"/>
                          <pic:cNvPicPr>
                            <a:picLocks noChangeAspect="1" noChangeArrowheads="1"/>
                          </pic:cNvPicPr>
                        </pic:nvPicPr>
                        <pic:blipFill>
                          <a:blip r:embed="rId7"/>
                          <a:srcRect/>
                          <a:stretch>
                            <a:fillRect/>
                          </a:stretch>
                        </pic:blipFill>
                        <pic:spPr>
                          <a:xfrm>
                            <a:off x="0" y="0"/>
                            <a:ext cx="687070" cy="866140"/>
                          </a:xfrm>
                          <a:prstGeom prst="rect">
                            <a:avLst/>
                          </a:prstGeom>
                          <a:noFill/>
                        </pic:spPr>
                      </pic:pic>
                    </a:graphicData>
                  </a:graphic>
                </wp:anchor>
              </w:drawing>
            </w:r>
          </w:p>
          <w:p w14:paraId="47085D04">
            <w:pPr>
              <w:spacing w:after="200" w:line="276" w:lineRule="auto"/>
              <w:contextualSpacing/>
              <w:jc w:val="center"/>
              <w:rPr>
                <w:rFonts w:eastAsiaTheme="minorEastAsia"/>
                <w:b/>
                <w:sz w:val="18"/>
                <w:szCs w:val="18"/>
                <w:lang w:val="en-US" w:eastAsia="en-US"/>
              </w:rPr>
            </w:pPr>
            <w:r>
              <w:rPr>
                <w:rFonts w:eastAsiaTheme="minorEastAsia"/>
                <w:b/>
                <w:sz w:val="20"/>
                <w:szCs w:val="20"/>
              </w:rPr>
              <w:drawing>
                <wp:inline distT="0" distB="0" distL="0" distR="0">
                  <wp:extent cx="495935" cy="632460"/>
                  <wp:effectExtent l="19050" t="0" r="0" b="0"/>
                  <wp:docPr id="1170333117" name="Рисунок 117033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33117" name="Рисунок 1170333117"/>
                          <pic:cNvPicPr>
                            <a:picLocks noChangeAspect="1" noChangeArrowheads="1"/>
                          </pic:cNvPicPr>
                        </pic:nvPicPr>
                        <pic:blipFill>
                          <a:blip r:embed="rId8"/>
                          <a:srcRect/>
                          <a:stretch>
                            <a:fillRect/>
                          </a:stretch>
                        </pic:blipFill>
                        <pic:spPr>
                          <a:xfrm>
                            <a:off x="0" y="0"/>
                            <a:ext cx="495935" cy="632460"/>
                          </a:xfrm>
                          <a:prstGeom prst="rect">
                            <a:avLst/>
                          </a:prstGeom>
                          <a:noFill/>
                          <a:ln w="9525">
                            <a:noFill/>
                            <a:miter lim="800000"/>
                            <a:headEnd/>
                            <a:tailEnd/>
                          </a:ln>
                        </pic:spPr>
                      </pic:pic>
                    </a:graphicData>
                  </a:graphic>
                </wp:inline>
              </w:drawing>
            </w:r>
          </w:p>
          <w:p w14:paraId="26E54031">
            <w:pPr>
              <w:spacing w:after="200" w:line="276" w:lineRule="auto"/>
              <w:contextualSpacing/>
              <w:rPr>
                <w:rFonts w:eastAsiaTheme="minorEastAsia"/>
                <w:sz w:val="18"/>
                <w:szCs w:val="18"/>
                <w:lang w:val="en-US" w:eastAsia="en-US"/>
              </w:rPr>
            </w:pPr>
          </w:p>
          <w:p w14:paraId="43DC5431">
            <w:pPr>
              <w:spacing w:after="200" w:line="276" w:lineRule="auto"/>
              <w:contextualSpacing/>
              <w:jc w:val="right"/>
              <w:rPr>
                <w:rFonts w:eastAsiaTheme="minorEastAsia"/>
                <w:sz w:val="18"/>
                <w:szCs w:val="18"/>
                <w:lang w:val="en-US" w:eastAsia="en-US"/>
              </w:rPr>
            </w:pPr>
          </w:p>
        </w:tc>
      </w:tr>
      <w:tr w14:paraId="2C48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975" w:type="dxa"/>
            <w:gridSpan w:val="3"/>
            <w:tcBorders>
              <w:top w:val="single" w:color="auto" w:sz="4" w:space="0"/>
              <w:left w:val="nil"/>
              <w:bottom w:val="thinThickSmallGap" w:color="auto" w:sz="24" w:space="0"/>
              <w:right w:val="nil"/>
            </w:tcBorders>
          </w:tcPr>
          <w:p w14:paraId="11134B9D">
            <w:pPr>
              <w:spacing w:after="200" w:line="276" w:lineRule="auto"/>
              <w:contextualSpacing/>
              <w:rPr>
                <w:rFonts w:eastAsiaTheme="minorEastAsia"/>
                <w:b/>
                <w:lang w:val="ro-RO" w:eastAsia="en-US"/>
              </w:rPr>
            </w:pPr>
            <w:r>
              <w:rPr>
                <w:rFonts w:eastAsiaTheme="minorEastAsia"/>
                <w:b/>
                <w:sz w:val="22"/>
                <w:szCs w:val="22"/>
                <w:lang w:val="ro-RO" w:eastAsia="en-US"/>
              </w:rPr>
              <w:t>Direcția Educație</w:t>
            </w:r>
          </w:p>
        </w:tc>
      </w:tr>
    </w:tbl>
    <w:p w14:paraId="6A695E14">
      <w:pPr>
        <w:ind w:left="900" w:hanging="900"/>
        <w:jc w:val="center"/>
        <w:rPr>
          <w:b/>
          <w:lang w:val="zh-CN"/>
        </w:rPr>
      </w:pPr>
      <w:r>
        <w:rPr>
          <w:b/>
          <w:lang w:val="de-DE"/>
        </w:rPr>
        <w:t>PROIECT DE  DECIZIE nr. ______</w:t>
      </w:r>
    </w:p>
    <w:p w14:paraId="674B1BF3">
      <w:pPr>
        <w:ind w:left="900" w:hanging="900"/>
        <w:jc w:val="center"/>
        <w:rPr>
          <w:b/>
          <w:lang w:val="zh-CN"/>
        </w:rPr>
      </w:pPr>
      <w:r>
        <w:rPr>
          <w:b/>
          <w:lang w:val="zh-CN"/>
        </w:rPr>
        <w:t xml:space="preserve">din ,,_____„ _________________ 2026 </w:t>
      </w:r>
    </w:p>
    <w:p w14:paraId="477C2EB1">
      <w:pPr>
        <w:ind w:left="900" w:hanging="900"/>
        <w:jc w:val="center"/>
        <w:rPr>
          <w:b/>
          <w:lang w:val="zh-CN"/>
        </w:rPr>
      </w:pPr>
      <w:r>
        <w:rPr>
          <w:b/>
          <w:lang w:val="zh-CN"/>
        </w:rPr>
        <w:t xml:space="preserve">or.Sîngerei           </w:t>
      </w:r>
    </w:p>
    <w:bookmarkEnd w:id="0"/>
    <w:p w14:paraId="021807FC">
      <w:pPr>
        <w:jc w:val="center"/>
        <w:rPr>
          <w:b/>
          <w:lang w:val="zh-CN"/>
        </w:rPr>
      </w:pPr>
    </w:p>
    <w:p w14:paraId="61B06910">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Privind reorganizarea prin fuziune (absorbție)/lichidare</w:t>
      </w:r>
    </w:p>
    <w:p w14:paraId="051AA8EE">
      <w:pPr>
        <w:keepNext w:val="0"/>
        <w:keepLines w:val="0"/>
        <w:widowControl/>
        <w:suppressLineNumbers w:val="0"/>
        <w:jc w:val="left"/>
        <w:rPr>
          <w:b/>
          <w:bCs/>
        </w:rPr>
      </w:pPr>
      <w:r>
        <w:rPr>
          <w:rFonts w:hint="default" w:ascii="Times New Roman" w:hAnsi="Times New Roman" w:eastAsia="SimSun" w:cs="Times New Roman"/>
          <w:b/>
          <w:bCs/>
          <w:color w:val="000000"/>
          <w:kern w:val="0"/>
          <w:sz w:val="24"/>
          <w:szCs w:val="24"/>
          <w:lang w:val="en-US" w:eastAsia="zh-CN" w:bidi="ar"/>
        </w:rPr>
        <w:t xml:space="preserve">a Instituției Publice Gimnaziul „Slobozia-Chișcăreni” </w:t>
      </w:r>
    </w:p>
    <w:p w14:paraId="4A22FB9C">
      <w:pPr>
        <w:tabs>
          <w:tab w:val="left" w:pos="567"/>
        </w:tabs>
        <w:jc w:val="both"/>
        <w:rPr>
          <w:lang w:val="zh-CN"/>
        </w:rPr>
      </w:pPr>
      <w:r>
        <w:rPr>
          <w:lang w:val="zh-CN"/>
        </w:rPr>
        <w:tab/>
      </w:r>
    </w:p>
    <w:p w14:paraId="3B1B7700">
      <w:pPr>
        <w:tabs>
          <w:tab w:val="left" w:pos="567"/>
        </w:tabs>
        <w:jc w:val="both"/>
        <w:rPr>
          <w:lang w:val="zh-CN"/>
        </w:rPr>
      </w:pPr>
    </w:p>
    <w:p w14:paraId="27B100FC">
      <w:pPr>
        <w:keepNext w:val="0"/>
        <w:keepLines w:val="0"/>
        <w:widowControl/>
        <w:suppressLineNumbers w:val="0"/>
        <w:ind w:left="0" w:leftChars="0" w:firstLine="480" w:firstLineChars="200"/>
        <w:jc w:val="both"/>
        <w:rPr>
          <w:rFonts w:hint="default"/>
          <w:bCs/>
          <w:lang w:val="ro-RO"/>
        </w:rPr>
      </w:pPr>
      <w:r>
        <w:rPr>
          <w:sz w:val="24"/>
          <w:szCs w:val="24"/>
          <w:lang w:val="zh-CN"/>
        </w:rPr>
        <w:t>Având în vedere: Nota de fundamentare</w:t>
      </w:r>
      <w:r>
        <w:rPr>
          <w:b/>
          <w:sz w:val="24"/>
          <w:szCs w:val="24"/>
          <w:lang w:val="zh-CN"/>
        </w:rPr>
        <w:t xml:space="preserve"> </w:t>
      </w:r>
      <w:r>
        <w:rPr>
          <w:bCs/>
          <w:sz w:val="24"/>
          <w:szCs w:val="24"/>
          <w:lang w:val="zh-CN"/>
        </w:rPr>
        <w:t>,,</w:t>
      </w:r>
      <w:r>
        <w:rPr>
          <w:rFonts w:hint="default" w:ascii="Times New Roman" w:hAnsi="Times New Roman" w:eastAsia="SimSun" w:cs="Times New Roman"/>
          <w:color w:val="000000"/>
          <w:kern w:val="0"/>
          <w:sz w:val="24"/>
          <w:szCs w:val="24"/>
          <w:lang w:val="en-US" w:eastAsia="zh-CN" w:bidi="ar"/>
        </w:rPr>
        <w:t>Privind reorganizarea prin fuziune (absorbție)/lichidare a Instituției Publice Gimnaziul „Slobozia-Chișcăreni”</w:t>
      </w:r>
    </w:p>
    <w:p w14:paraId="6EF0EA40">
      <w:pPr>
        <w:ind w:firstLine="567"/>
        <w:jc w:val="both"/>
        <w:rPr>
          <w:lang w:val="zh-CN"/>
        </w:rPr>
      </w:pPr>
      <w:r>
        <w:rPr>
          <w:lang w:val="zh-CN"/>
        </w:rPr>
        <w:t>În temeiul art. 43 alin. (2) al Legii privind administrația publică locală nr. 436/2006, art. 21 alin. (1), art. 141 alin. (1) lit. j)</w:t>
      </w:r>
      <w:r>
        <w:rPr>
          <w:rFonts w:hint="default"/>
          <w:lang w:val="ro-RO"/>
        </w:rPr>
        <w:t>, art. 145</w:t>
      </w:r>
      <w:r>
        <w:rPr>
          <w:rFonts w:hint="default"/>
          <w:vertAlign w:val="superscript"/>
          <w:lang w:val="ro-RO"/>
        </w:rPr>
        <w:t xml:space="preserve">1 </w:t>
      </w:r>
      <w:r>
        <w:rPr>
          <w:rFonts w:hint="default"/>
          <w:vertAlign w:val="baseline"/>
          <w:lang w:val="ro-RO"/>
        </w:rPr>
        <w:t>alin. (13)</w:t>
      </w:r>
      <w:r>
        <w:rPr>
          <w:lang w:val="zh-CN"/>
        </w:rPr>
        <w:t xml:space="preserve"> din Codul Educației al Republicii Moldova nr. 152/2014, art. 88, art. 88</w:t>
      </w:r>
      <w:r>
        <w:rPr>
          <w:vertAlign w:val="superscript"/>
          <w:lang w:val="zh-CN"/>
        </w:rPr>
        <w:t>1</w:t>
      </w:r>
      <w:r>
        <w:rPr>
          <w:lang w:val="zh-CN"/>
        </w:rPr>
        <w:t xml:space="preserve"> și art. 184 alin. (1) lit. a) din Codul Muncii al Republicii Moldova nr. 154/2003, Codul Civil al Republicii Moldova nr. 1107/2002, </w:t>
      </w:r>
    </w:p>
    <w:p w14:paraId="54C607A8">
      <w:pPr>
        <w:ind w:firstLine="567"/>
        <w:jc w:val="both"/>
        <w:rPr>
          <w:lang w:val="zh-CN"/>
        </w:rPr>
      </w:pPr>
      <w:r>
        <w:rPr>
          <w:b/>
          <w:bCs/>
          <w:lang w:val="zh-CN"/>
        </w:rPr>
        <w:t>Consiliul raional,</w:t>
      </w:r>
    </w:p>
    <w:p w14:paraId="4C209611">
      <w:pPr>
        <w:jc w:val="center"/>
        <w:rPr>
          <w:b/>
          <w:bCs/>
          <w:lang w:val="zh-CN"/>
        </w:rPr>
      </w:pPr>
      <w:r>
        <w:rPr>
          <w:b/>
          <w:bCs/>
          <w:lang w:val="zh-CN"/>
        </w:rPr>
        <w:t>DECIDE:</w:t>
      </w:r>
    </w:p>
    <w:p w14:paraId="07FC149E">
      <w:pPr>
        <w:keepNext w:val="0"/>
        <w:keepLines w:val="0"/>
        <w:widowControl/>
        <w:numPr>
          <w:ilvl w:val="0"/>
          <w:numId w:val="2"/>
        </w:numPr>
        <w:suppressLineNumbers w:val="0"/>
        <w:ind w:left="0" w:leftChars="0" w:firstLine="480" w:firstLineChars="200"/>
        <w:jc w:val="both"/>
        <w:rPr>
          <w:lang w:val="zh-CN"/>
        </w:rPr>
      </w:pPr>
      <w:r>
        <w:rPr>
          <w:lang w:val="zh-CN" w:eastAsia="ro-RO"/>
        </w:rPr>
        <w:t>Se acceptă propunerea Direcției Educației</w:t>
      </w:r>
      <w:r>
        <w:rPr>
          <w:rFonts w:hint="default"/>
          <w:lang w:val="en-US" w:eastAsia="ro-RO"/>
        </w:rPr>
        <w:t xml:space="preserve"> p</w:t>
      </w:r>
      <w:r>
        <w:rPr>
          <w:rFonts w:hint="default" w:ascii="Times New Roman" w:hAnsi="Times New Roman" w:eastAsia="SimSun" w:cs="Times New Roman"/>
          <w:color w:val="000000"/>
          <w:kern w:val="0"/>
          <w:sz w:val="24"/>
          <w:szCs w:val="24"/>
          <w:lang w:val="en-US" w:eastAsia="zh-CN" w:bidi="ar"/>
        </w:rPr>
        <w:t>rivind reorganizarea prin fuziune (absorbție) a Instituției Publice Gimnaziul „Slobozia-Chișcăreni</w:t>
      </w:r>
      <w:r>
        <w:rPr>
          <w:rFonts w:hint="default" w:eastAsia="SimSun" w:cs="Times New Roman"/>
          <w:color w:val="000000"/>
          <w:kern w:val="0"/>
          <w:sz w:val="24"/>
          <w:szCs w:val="24"/>
          <w:lang w:val="ro-RO" w:eastAsia="zh-CN" w:bidi="ar"/>
        </w:rPr>
        <w:t xml:space="preserve"> </w:t>
      </w:r>
      <w:r>
        <w:rPr>
          <w:rFonts w:hint="default" w:ascii="Times New Roman" w:hAnsi="Times New Roman" w:eastAsia="SimSun" w:cs="Times New Roman"/>
          <w:color w:val="000000"/>
          <w:kern w:val="0"/>
          <w:sz w:val="24"/>
          <w:szCs w:val="24"/>
          <w:lang w:val="en-US" w:eastAsia="zh-CN" w:bidi="ar"/>
        </w:rPr>
        <w:t>(instituție absorbită) cu Instituția Publică Liceul Teoretic „Nicolae Casso” din s. Chișcăreni r-nul Sîngerei (instituție absorbantă)</w:t>
      </w:r>
      <w:r>
        <w:rPr>
          <w:rFonts w:hint="default" w:eastAsia="SimSun" w:cs="Times New Roman"/>
          <w:color w:val="000000"/>
          <w:kern w:val="0"/>
          <w:sz w:val="24"/>
          <w:szCs w:val="24"/>
          <w:lang w:val="ro-RO" w:eastAsia="zh-CN" w:bidi="ar"/>
        </w:rPr>
        <w:t xml:space="preserve">, după caz </w:t>
      </w:r>
      <w:r>
        <w:rPr>
          <w:rFonts w:hint="default" w:ascii="Times New Roman" w:hAnsi="Times New Roman" w:eastAsia="SimSun" w:cs="Times New Roman"/>
          <w:color w:val="000000"/>
          <w:kern w:val="0"/>
          <w:sz w:val="24"/>
          <w:szCs w:val="24"/>
          <w:lang w:val="en-US" w:eastAsia="zh-CN" w:bidi="ar"/>
        </w:rPr>
        <w:t>lichidare</w:t>
      </w:r>
      <w:r>
        <w:rPr>
          <w:bCs/>
          <w:lang w:val="zh-CN"/>
        </w:rPr>
        <w:t>;</w:t>
      </w:r>
    </w:p>
    <w:p w14:paraId="1EC3CC52">
      <w:pPr>
        <w:keepNext w:val="0"/>
        <w:keepLines w:val="0"/>
        <w:widowControl/>
        <w:numPr>
          <w:ilvl w:val="0"/>
          <w:numId w:val="2"/>
        </w:numPr>
        <w:suppressLineNumbers w:val="0"/>
        <w:ind w:left="0" w:leftChars="0" w:firstLine="480" w:firstLineChars="200"/>
        <w:jc w:val="both"/>
        <w:rPr>
          <w:lang w:val="zh-CN"/>
        </w:rPr>
      </w:pPr>
      <w:r>
        <w:rPr>
          <w:lang w:val="zh-CN"/>
        </w:rPr>
        <w:t xml:space="preserve">Se pune în sarcina Direcției Educație (dl Nicolae MELINTE): </w:t>
      </w:r>
    </w:p>
    <w:p w14:paraId="46BDAC92">
      <w:pPr>
        <w:pStyle w:val="25"/>
        <w:numPr>
          <w:ilvl w:val="1"/>
          <w:numId w:val="3"/>
        </w:numPr>
        <w:tabs>
          <w:tab w:val="left" w:pos="851"/>
          <w:tab w:val="left" w:pos="993"/>
        </w:tabs>
        <w:ind w:left="0" w:leftChars="0" w:firstLine="480" w:firstLineChars="0"/>
        <w:jc w:val="both"/>
        <w:rPr>
          <w:lang w:val="en-US"/>
        </w:rPr>
      </w:pPr>
      <w:r>
        <w:rPr>
          <w:lang w:val="zh-CN"/>
        </w:rPr>
        <w:t xml:space="preserve">organizarea transferării elevilor </w:t>
      </w:r>
      <w:r>
        <w:rPr>
          <w:rFonts w:eastAsia="Times New Roman"/>
          <w:lang w:val="zh-CN" w:eastAsia="ro-RO"/>
        </w:rPr>
        <w:t xml:space="preserve">(clasele I - IX) </w:t>
      </w:r>
      <w:r>
        <w:rPr>
          <w:lang w:val="zh-CN"/>
        </w:rPr>
        <w:t>din instituția</w:t>
      </w:r>
      <w:r>
        <w:rPr>
          <w:color w:val="000000" w:themeColor="text1"/>
          <w:lang w:val="it-IT"/>
          <w14:textFill>
            <w14:solidFill>
              <w14:schemeClr w14:val="tx1"/>
            </w14:solidFill>
          </w14:textFill>
        </w:rPr>
        <w:t xml:space="preserve"> </w:t>
      </w:r>
      <w:r>
        <w:rPr>
          <w:rFonts w:hint="default"/>
          <w:color w:val="000000" w:themeColor="text1"/>
          <w:lang w:val="ro-RO"/>
          <w14:textFill>
            <w14:solidFill>
              <w14:schemeClr w14:val="tx1"/>
            </w14:solidFill>
          </w14:textFill>
        </w:rPr>
        <w:t>reorganizată prin fuziune/lichidată</w:t>
      </w:r>
      <w:r>
        <w:rPr>
          <w:color w:val="000000" w:themeColor="text1"/>
          <w:lang w:val="it-IT"/>
          <w14:textFill>
            <w14:solidFill>
              <w14:schemeClr w14:val="tx1"/>
            </w14:solidFill>
          </w14:textFill>
        </w:rPr>
        <w:t xml:space="preserve"> </w:t>
      </w:r>
      <w:r>
        <w:rPr>
          <w:lang w:val="en-US"/>
        </w:rPr>
        <w:t xml:space="preserve">în instituția de învățământ primitoare - </w:t>
      </w:r>
      <w:r>
        <w:rPr>
          <w:rFonts w:eastAsia="Times New Roman"/>
          <w:lang w:val="en-US" w:eastAsia="ro-RO"/>
        </w:rPr>
        <w:t xml:space="preserve">Instituţia Publică Liceul Teoretic „Nicolae Casso” din s. Chișcăreni, </w:t>
      </w:r>
      <w:r>
        <w:rPr>
          <w:lang w:val="zh-CN"/>
        </w:rPr>
        <w:t>r-nul Sîngerei</w:t>
      </w:r>
      <w:r>
        <w:rPr>
          <w:lang w:val="en-US"/>
        </w:rPr>
        <w:t>;</w:t>
      </w:r>
    </w:p>
    <w:p w14:paraId="0E0DE5FA">
      <w:pPr>
        <w:pStyle w:val="25"/>
        <w:numPr>
          <w:ilvl w:val="1"/>
          <w:numId w:val="3"/>
        </w:numPr>
        <w:tabs>
          <w:tab w:val="left" w:pos="851"/>
          <w:tab w:val="left" w:pos="993"/>
        </w:tabs>
        <w:ind w:left="0" w:leftChars="0" w:firstLine="480" w:firstLineChars="0"/>
        <w:jc w:val="both"/>
        <w:rPr>
          <w:lang w:val="en-US"/>
        </w:rPr>
      </w:pPr>
      <w:r>
        <w:rPr>
          <w:lang w:val="en-US"/>
        </w:rPr>
        <w:t xml:space="preserve">asigurarea preavizării, sub semnătură, a directorului instituției supuse </w:t>
      </w:r>
      <w:r>
        <w:rPr>
          <w:rFonts w:hint="default"/>
          <w:lang w:val="ro-RO"/>
        </w:rPr>
        <w:t>reorganizării prin fuziune/</w:t>
      </w:r>
      <w:r>
        <w:rPr>
          <w:lang w:val="en-US"/>
        </w:rPr>
        <w:t>lichidării, în conformitate cu prevederile Codului muncii al Republicii Moldova nr. 154/2003, precum și monitorizarea emiterii ordinului de preavizare a salariaților de către conducătorul instituției respective.</w:t>
      </w:r>
    </w:p>
    <w:p w14:paraId="04C382FA">
      <w:pPr>
        <w:pStyle w:val="25"/>
        <w:numPr>
          <w:ilvl w:val="1"/>
          <w:numId w:val="3"/>
        </w:numPr>
        <w:tabs>
          <w:tab w:val="left" w:pos="851"/>
          <w:tab w:val="left" w:pos="993"/>
        </w:tabs>
        <w:ind w:left="0" w:leftChars="0" w:firstLine="480" w:firstLineChars="0"/>
        <w:jc w:val="both"/>
        <w:rPr>
          <w:lang w:val="en-US"/>
        </w:rPr>
      </w:pPr>
      <w:r>
        <w:rPr>
          <w:lang w:val="en-US"/>
        </w:rPr>
        <w:t xml:space="preserve">asigurarea rezilierii </w:t>
      </w:r>
      <w:r>
        <w:rPr>
          <w:color w:val="auto"/>
          <w:lang w:val="en-US"/>
        </w:rPr>
        <w:t>contractului de comodat nr. 2 din 01 ianuarie 2013, încheiat cu Primăria com. Chișcăreni, începând cu data de 01.09.2026.</w:t>
      </w:r>
    </w:p>
    <w:p w14:paraId="6033FCE4">
      <w:pPr>
        <w:pStyle w:val="25"/>
        <w:numPr>
          <w:ilvl w:val="1"/>
          <w:numId w:val="3"/>
        </w:numPr>
        <w:tabs>
          <w:tab w:val="left" w:pos="851"/>
          <w:tab w:val="left" w:pos="993"/>
        </w:tabs>
        <w:ind w:left="0" w:leftChars="0" w:firstLine="480" w:firstLineChars="0"/>
        <w:jc w:val="both"/>
        <w:rPr>
          <w:lang w:val="en-US"/>
        </w:rPr>
      </w:pPr>
      <w:r>
        <w:rPr>
          <w:rFonts w:eastAsia="Calibri"/>
          <w:lang w:val="ro-RO"/>
        </w:rPr>
        <w:t>asigurarea instituirii comisiei de transmitere a patrimoniului, în conformitate cu legislația în vigoare;</w:t>
      </w:r>
    </w:p>
    <w:p w14:paraId="190318C1">
      <w:pPr>
        <w:pStyle w:val="25"/>
        <w:numPr>
          <w:ilvl w:val="1"/>
          <w:numId w:val="3"/>
        </w:numPr>
        <w:tabs>
          <w:tab w:val="left" w:pos="851"/>
          <w:tab w:val="left" w:pos="993"/>
        </w:tabs>
        <w:ind w:left="0" w:leftChars="0" w:firstLine="480" w:firstLineChars="0"/>
        <w:jc w:val="both"/>
        <w:rPr>
          <w:lang w:val="en-US"/>
        </w:rPr>
      </w:pPr>
      <w:r>
        <w:rPr>
          <w:rFonts w:eastAsia="Calibri"/>
          <w:lang w:val="ro-RO"/>
        </w:rPr>
        <w:t>întreprinderea altor măsuri în vederea punerii în aplicare a prezentei decizii.</w:t>
      </w:r>
    </w:p>
    <w:p w14:paraId="5D3F9CAE">
      <w:pPr>
        <w:pStyle w:val="25"/>
        <w:numPr>
          <w:ilvl w:val="0"/>
          <w:numId w:val="4"/>
        </w:numPr>
        <w:tabs>
          <w:tab w:val="left" w:pos="720"/>
          <w:tab w:val="left" w:pos="993"/>
        </w:tabs>
        <w:ind w:left="0" w:leftChars="0" w:firstLine="480" w:firstLineChars="0"/>
        <w:jc w:val="both"/>
        <w:rPr>
          <w:color w:val="auto"/>
          <w:shd w:val="clear" w:color="auto" w:fill="FFFFFF"/>
          <w:lang w:val="en-US"/>
        </w:rPr>
      </w:pPr>
      <w:r>
        <w:rPr>
          <w:color w:val="auto"/>
          <w:shd w:val="clear" w:color="auto" w:fill="FFFFFF"/>
          <w:lang w:val="en-US"/>
        </w:rPr>
        <w:t>Se desemnează în calitate de lichidator</w:t>
      </w:r>
      <w:r>
        <w:rPr>
          <w:rFonts w:hint="default"/>
          <w:color w:val="auto"/>
          <w:shd w:val="clear" w:color="auto" w:fill="FFFFFF"/>
          <w:lang w:val="ro-RO"/>
        </w:rPr>
        <w:t xml:space="preserve"> (după caz)/înregistrarea modificărilor aprobate la</w:t>
      </w:r>
      <w:r>
        <w:rPr>
          <w:color w:val="auto"/>
          <w:shd w:val="clear" w:color="auto" w:fill="FFFFFF"/>
          <w:lang w:val="en-US"/>
        </w:rPr>
        <w:t xml:space="preserve">, șeful </w:t>
      </w:r>
      <w:r>
        <w:rPr>
          <w:color w:val="auto"/>
          <w:lang w:val="en-US"/>
        </w:rPr>
        <w:t xml:space="preserve">Direcției Educație (dl Nicolae MELINTE). </w:t>
      </w:r>
    </w:p>
    <w:p w14:paraId="19E6ACB0">
      <w:pPr>
        <w:pStyle w:val="25"/>
        <w:numPr>
          <w:ilvl w:val="0"/>
          <w:numId w:val="4"/>
        </w:numPr>
        <w:tabs>
          <w:tab w:val="left" w:pos="720"/>
          <w:tab w:val="left" w:pos="993"/>
        </w:tabs>
        <w:ind w:left="0" w:leftChars="0" w:firstLine="480" w:firstLineChars="0"/>
        <w:jc w:val="both"/>
        <w:rPr>
          <w:color w:val="auto"/>
          <w:shd w:val="clear" w:color="auto" w:fill="FFFFFF"/>
          <w:lang w:val="en-US"/>
        </w:rPr>
      </w:pPr>
      <w:r>
        <w:rPr>
          <w:rFonts w:hint="default"/>
          <w:color w:val="auto"/>
          <w:shd w:val="clear" w:color="auto" w:fill="FFFFFF"/>
          <w:lang w:val="ro-RO"/>
        </w:rPr>
        <w:t>Directorii instituțiilor de învățământ supuse reorganizării prin fuziune/după caz, l</w:t>
      </w:r>
      <w:r>
        <w:rPr>
          <w:color w:val="auto"/>
          <w:shd w:val="clear" w:color="auto" w:fill="FFFFFF"/>
          <w:lang w:val="en-US"/>
        </w:rPr>
        <w:t>ichidatoru</w:t>
      </w:r>
      <w:r>
        <w:rPr>
          <w:rFonts w:hint="default"/>
          <w:color w:val="auto"/>
          <w:shd w:val="clear" w:color="auto" w:fill="FFFFFF"/>
          <w:lang w:val="ro-RO"/>
        </w:rPr>
        <w:t xml:space="preserve">l </w:t>
      </w:r>
      <w:r>
        <w:rPr>
          <w:color w:val="auto"/>
          <w:shd w:val="clear" w:color="auto" w:fill="FFFFFF"/>
          <w:lang w:val="en-US"/>
        </w:rPr>
        <w:t>v</w:t>
      </w:r>
      <w:r>
        <w:rPr>
          <w:rFonts w:hint="default"/>
          <w:color w:val="auto"/>
          <w:shd w:val="clear" w:color="auto" w:fill="FFFFFF"/>
          <w:lang w:val="ro-RO"/>
        </w:rPr>
        <w:t>or</w:t>
      </w:r>
      <w:r>
        <w:rPr>
          <w:color w:val="auto"/>
          <w:shd w:val="clear" w:color="auto" w:fill="FFFFFF"/>
          <w:lang w:val="en-US"/>
        </w:rPr>
        <w:t xml:space="preserve"> </w:t>
      </w:r>
      <w:r>
        <w:rPr>
          <w:rFonts w:hint="default"/>
          <w:color w:val="auto"/>
          <w:shd w:val="clear" w:color="auto" w:fill="FFFFFF"/>
          <w:lang w:val="ro-RO"/>
        </w:rPr>
        <w:t xml:space="preserve">asigura </w:t>
      </w:r>
      <w:r>
        <w:rPr>
          <w:rFonts w:hint="default"/>
          <w:lang w:val="ro-RO"/>
        </w:rPr>
        <w:t>depunerea la</w:t>
      </w:r>
      <w:r>
        <w:rPr>
          <w:lang w:val="en-US"/>
        </w:rPr>
        <w:t xml:space="preserve"> organul înregistrării de stat (Agenția Servicii Publice) </w:t>
      </w:r>
      <w:r>
        <w:rPr>
          <w:rFonts w:hint="default"/>
          <w:lang w:val="ro-RO"/>
        </w:rPr>
        <w:t xml:space="preserve">a </w:t>
      </w:r>
      <w:r>
        <w:rPr>
          <w:lang w:val="en-US"/>
        </w:rPr>
        <w:t>documentel</w:t>
      </w:r>
      <w:r>
        <w:rPr>
          <w:rFonts w:hint="default"/>
          <w:lang w:val="ro-RO"/>
        </w:rPr>
        <w:t>or</w:t>
      </w:r>
      <w:r>
        <w:rPr>
          <w:lang w:val="en-US"/>
        </w:rPr>
        <w:t xml:space="preserve"> necesare pentru înregistrarea reorganizări</w:t>
      </w:r>
      <w:r>
        <w:rPr>
          <w:rFonts w:hint="default"/>
          <w:lang w:val="ro-RO"/>
        </w:rPr>
        <w:t>i/lichidării.</w:t>
      </w:r>
    </w:p>
    <w:p w14:paraId="23BAC58D">
      <w:pPr>
        <w:pStyle w:val="25"/>
        <w:numPr>
          <w:ilvl w:val="0"/>
          <w:numId w:val="4"/>
        </w:numPr>
        <w:tabs>
          <w:tab w:val="left" w:pos="720"/>
          <w:tab w:val="left" w:pos="993"/>
        </w:tabs>
        <w:ind w:left="0" w:leftChars="0" w:firstLine="480" w:firstLineChars="0"/>
        <w:jc w:val="both"/>
        <w:rPr>
          <w:lang w:val="en-US"/>
        </w:rPr>
      </w:pPr>
      <w:r>
        <w:rPr>
          <w:lang w:val="en-US"/>
        </w:rPr>
        <w:t>Se desemnează responsabilă de executarea  prezentei decizii vicepreședinta raionului (dna Vera  SERBUȘCA).</w:t>
      </w:r>
    </w:p>
    <w:p w14:paraId="7399CCED">
      <w:pPr>
        <w:pStyle w:val="15"/>
        <w:numPr>
          <w:ilvl w:val="0"/>
          <w:numId w:val="4"/>
        </w:numPr>
        <w:tabs>
          <w:tab w:val="left" w:pos="720"/>
          <w:tab w:val="left" w:pos="993"/>
        </w:tabs>
        <w:ind w:left="0" w:leftChars="0" w:firstLine="480" w:firstLineChars="0"/>
        <w:jc w:val="both"/>
        <w:rPr>
          <w:lang w:val="en-US"/>
        </w:rPr>
      </w:pPr>
      <w:r>
        <w:rPr>
          <w:lang w:val="en-US"/>
        </w:rPr>
        <w:t>Controlul monitorizării executării deciziei în cauză se pune în sarcina Comisiei consultative pentru  Învățământ, cultură, sport, tineret, ocrotirea sănătății, probleme sociale, turism și culte (dna Alina TABARCEA).</w:t>
      </w:r>
    </w:p>
    <w:p w14:paraId="6CB3BF82">
      <w:pPr>
        <w:pStyle w:val="15"/>
        <w:numPr>
          <w:ilvl w:val="0"/>
          <w:numId w:val="4"/>
        </w:numPr>
        <w:tabs>
          <w:tab w:val="left" w:pos="851"/>
          <w:tab w:val="left" w:pos="993"/>
        </w:tabs>
        <w:ind w:left="0" w:leftChars="0" w:firstLine="480" w:firstLineChars="0"/>
        <w:jc w:val="both"/>
        <w:rPr>
          <w:lang w:val="en-US"/>
        </w:rPr>
      </w:pPr>
      <w:r>
        <w:rPr>
          <w:lang w:val="en-US"/>
        </w:rPr>
        <w:t xml:space="preserve"> Prezenta decizie poate fi contestată la Judecătoria Bălți (cu sediul mun.Bălți, str. Hotinului, nr. 43), în termen de 30 de zile de la data publicării, potrivit prevederilor Codului Administrativ al RM nr. 116/2018.</w:t>
      </w:r>
    </w:p>
    <w:p w14:paraId="46C6DD9B">
      <w:pPr>
        <w:ind w:firstLine="567"/>
        <w:jc w:val="both"/>
        <w:rPr>
          <w:lang w:val="en-US"/>
        </w:rPr>
      </w:pPr>
      <w:r>
        <w:rPr>
          <w:lang w:val="en-US"/>
        </w:rPr>
        <w:t xml:space="preserve"> </w:t>
      </w:r>
    </w:p>
    <w:p w14:paraId="24E2C88B">
      <w:pPr>
        <w:tabs>
          <w:tab w:val="left" w:pos="930"/>
        </w:tabs>
        <w:spacing w:line="276" w:lineRule="auto"/>
        <w:jc w:val="both"/>
        <w:rPr>
          <w:b/>
          <w:sz w:val="16"/>
          <w:szCs w:val="16"/>
          <w:lang w:val="en-US"/>
        </w:rPr>
      </w:pPr>
    </w:p>
    <w:p w14:paraId="2B343332">
      <w:pPr>
        <w:jc w:val="center"/>
        <w:rPr>
          <w:rFonts w:eastAsiaTheme="minorEastAsia"/>
          <w:b/>
          <w:sz w:val="22"/>
          <w:szCs w:val="22"/>
          <w:lang w:val="en-US" w:eastAsia="en-US"/>
        </w:rPr>
      </w:pPr>
      <w:r>
        <w:rPr>
          <w:rFonts w:eastAsiaTheme="minorEastAsia"/>
          <w:b/>
          <w:sz w:val="22"/>
          <w:szCs w:val="22"/>
          <w:lang w:val="en-US" w:eastAsia="en-US"/>
        </w:rPr>
        <w:t>PREȘEDINTE</w:t>
      </w:r>
    </w:p>
    <w:p w14:paraId="0C9CCF92">
      <w:pPr>
        <w:jc w:val="center"/>
        <w:rPr>
          <w:rFonts w:eastAsiaTheme="minorEastAsia"/>
          <w:b/>
          <w:sz w:val="22"/>
          <w:szCs w:val="22"/>
          <w:lang w:val="en-US" w:eastAsia="en-US"/>
        </w:rPr>
      </w:pPr>
      <w:r>
        <w:rPr>
          <w:rFonts w:eastAsiaTheme="minorEastAsia"/>
          <w:b/>
          <w:sz w:val="22"/>
          <w:szCs w:val="22"/>
          <w:lang w:val="en-US" w:eastAsia="en-US"/>
        </w:rPr>
        <w:t>Cristian CAINARIAN</w:t>
      </w:r>
    </w:p>
    <w:p w14:paraId="76D3D5AC">
      <w:pPr>
        <w:jc w:val="center"/>
        <w:rPr>
          <w:lang w:val="en-US"/>
        </w:rPr>
      </w:pPr>
      <w:r>
        <w:rPr>
          <w:rFonts w:eastAsiaTheme="minorEastAsia"/>
          <w:b/>
          <w:sz w:val="22"/>
          <w:szCs w:val="22"/>
          <w:lang w:val="en-US" w:eastAsia="en-US"/>
        </w:rPr>
        <w:t>________________________</w:t>
      </w:r>
    </w:p>
    <w:p w14:paraId="3E05B818">
      <w:pPr>
        <w:rPr>
          <w:lang w:val="zh-CN"/>
        </w:rPr>
      </w:pPr>
    </w:p>
    <w:tbl>
      <w:tblPr>
        <w:tblStyle w:val="12"/>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673"/>
      </w:tblGrid>
      <w:tr w14:paraId="6D6A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14:paraId="152378B3">
            <w:pPr>
              <w:ind w:left="-284"/>
              <w:jc w:val="center"/>
              <w:rPr>
                <w:b/>
                <w:lang w:val="fr-CA"/>
              </w:rPr>
            </w:pPr>
            <w:r>
              <w:rPr>
                <w:b/>
                <w:lang w:val="fr-CA"/>
              </w:rPr>
              <w:t>CONTRASEMNEAZĂ</w:t>
            </w:r>
          </w:p>
          <w:p w14:paraId="0CDA34AF">
            <w:pPr>
              <w:ind w:left="-284"/>
              <w:jc w:val="center"/>
              <w:rPr>
                <w:b/>
                <w:lang w:val="fr-CA"/>
              </w:rPr>
            </w:pPr>
            <w:r>
              <w:rPr>
                <w:b/>
                <w:lang w:val="fr-CA"/>
              </w:rPr>
              <w:t>Secretară interimară a</w:t>
            </w:r>
          </w:p>
          <w:p w14:paraId="2A23E642">
            <w:pPr>
              <w:ind w:left="-284"/>
              <w:jc w:val="center"/>
              <w:rPr>
                <w:b/>
                <w:lang w:val="fr-CA"/>
              </w:rPr>
            </w:pPr>
            <w:r>
              <w:rPr>
                <w:b/>
                <w:lang w:val="fr-CA"/>
              </w:rPr>
              <w:t>Consiliului raional</w:t>
            </w:r>
          </w:p>
          <w:p w14:paraId="3E452CCC">
            <w:pPr>
              <w:ind w:left="-284"/>
              <w:jc w:val="center"/>
              <w:rPr>
                <w:lang w:val="fr-CA"/>
              </w:rPr>
            </w:pPr>
            <w:r>
              <w:rPr>
                <w:lang w:val="fr-CA"/>
              </w:rPr>
              <w:t>Angela MIHALIUC</w:t>
            </w:r>
          </w:p>
          <w:p w14:paraId="7ED45823">
            <w:pPr>
              <w:ind w:left="-284"/>
              <w:jc w:val="center"/>
              <w:rPr>
                <w:lang w:val="en-US"/>
              </w:rPr>
            </w:pPr>
            <w:r>
              <w:rPr>
                <w:lang w:val="en-US"/>
              </w:rPr>
              <w:t>______________________________</w:t>
            </w:r>
          </w:p>
          <w:p w14:paraId="3346223D">
            <w:pPr>
              <w:contextualSpacing/>
              <w:jc w:val="center"/>
              <w:rPr>
                <w:lang w:val="ro-RO"/>
              </w:rPr>
            </w:pPr>
            <w:r>
              <w:rPr>
                <w:lang w:val="en-US"/>
              </w:rPr>
              <w:t>(</w:t>
            </w:r>
            <w:r>
              <w:rPr>
                <w:sz w:val="16"/>
                <w:szCs w:val="16"/>
                <w:lang w:val="en-US"/>
              </w:rPr>
              <w:t>semnătura</w:t>
            </w:r>
            <w:r>
              <w:rPr>
                <w:lang w:val="ro-RO"/>
              </w:rPr>
              <w:t>)</w:t>
            </w:r>
          </w:p>
          <w:p w14:paraId="249C4AD0">
            <w:pPr>
              <w:contextualSpacing/>
              <w:jc w:val="center"/>
              <w:rPr>
                <w:b/>
                <w:bCs/>
                <w:lang w:val="ro-RO"/>
              </w:rPr>
            </w:pPr>
          </w:p>
        </w:tc>
        <w:tc>
          <w:tcPr>
            <w:tcW w:w="4673" w:type="dxa"/>
          </w:tcPr>
          <w:p w14:paraId="1AEEE070">
            <w:pPr>
              <w:ind w:left="-284"/>
              <w:jc w:val="center"/>
              <w:rPr>
                <w:b/>
                <w:lang w:val="fr-CA"/>
              </w:rPr>
            </w:pPr>
            <w:r>
              <w:rPr>
                <w:b/>
                <w:lang w:val="fr-CA"/>
              </w:rPr>
              <w:t xml:space="preserve">SUSŢIN </w:t>
            </w:r>
          </w:p>
          <w:p w14:paraId="5924D81E">
            <w:pPr>
              <w:ind w:left="-284"/>
              <w:jc w:val="center"/>
              <w:rPr>
                <w:lang w:val="fr-CA"/>
              </w:rPr>
            </w:pPr>
            <w:r>
              <w:rPr>
                <w:b/>
                <w:lang w:val="fr-CA"/>
              </w:rPr>
              <w:t>Vicepreședinta raionului</w:t>
            </w:r>
          </w:p>
          <w:p w14:paraId="7583CFE9">
            <w:pPr>
              <w:ind w:left="-284"/>
              <w:jc w:val="center"/>
              <w:rPr>
                <w:lang w:val="fr-CA"/>
              </w:rPr>
            </w:pPr>
            <w:r>
              <w:rPr>
                <w:lang w:val="fr-CA"/>
              </w:rPr>
              <w:t>Vera SERBUȘCA</w:t>
            </w:r>
          </w:p>
          <w:p w14:paraId="5CCC15C1">
            <w:pPr>
              <w:ind w:left="-284"/>
              <w:jc w:val="center"/>
              <w:rPr>
                <w:lang w:val="fr-CA"/>
              </w:rPr>
            </w:pPr>
            <w:r>
              <w:rPr>
                <w:lang w:val="fr-CA"/>
              </w:rPr>
              <w:t>__________________________</w:t>
            </w:r>
          </w:p>
          <w:p w14:paraId="1C6B6D8C">
            <w:pPr>
              <w:ind w:left="-284"/>
              <w:jc w:val="center"/>
              <w:rPr>
                <w:lang w:val="en-US"/>
              </w:rPr>
            </w:pPr>
            <w:r>
              <w:rPr>
                <w:lang w:val="en-US"/>
              </w:rPr>
              <w:t>(</w:t>
            </w:r>
            <w:r>
              <w:rPr>
                <w:sz w:val="20"/>
                <w:szCs w:val="20"/>
                <w:lang w:val="en-US"/>
              </w:rPr>
              <w:t>semnătura</w:t>
            </w:r>
            <w:r>
              <w:rPr>
                <w:lang w:val="en-US"/>
              </w:rPr>
              <w:t>)</w:t>
            </w:r>
          </w:p>
          <w:p w14:paraId="605664EE">
            <w:pPr>
              <w:contextualSpacing/>
              <w:jc w:val="center"/>
              <w:rPr>
                <w:b/>
                <w:bCs/>
                <w:lang w:val="ro-RO"/>
              </w:rPr>
            </w:pPr>
          </w:p>
        </w:tc>
      </w:tr>
      <w:tr w14:paraId="7CA3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Pr>
          <w:p w14:paraId="3A0C7036">
            <w:pPr>
              <w:jc w:val="center"/>
              <w:rPr>
                <w:b/>
                <w:lang w:val="pt-BR"/>
              </w:rPr>
            </w:pPr>
          </w:p>
          <w:p w14:paraId="0A399060">
            <w:pPr>
              <w:jc w:val="center"/>
              <w:rPr>
                <w:b/>
                <w:lang w:val="pt-BR"/>
              </w:rPr>
            </w:pPr>
            <w:r>
              <w:rPr>
                <w:b/>
                <w:lang w:val="pt-BR"/>
              </w:rPr>
              <w:t>ÎNTOCMIT</w:t>
            </w:r>
          </w:p>
          <w:p w14:paraId="5D6474A9">
            <w:pPr>
              <w:jc w:val="center"/>
              <w:rPr>
                <w:b/>
                <w:lang w:val="ro-RO"/>
              </w:rPr>
            </w:pPr>
            <w:r>
              <w:rPr>
                <w:b/>
                <w:lang w:val="ro-RO"/>
              </w:rPr>
              <w:t>Șef Direcția Educație</w:t>
            </w:r>
          </w:p>
          <w:p w14:paraId="71DC63AA">
            <w:pPr>
              <w:jc w:val="center"/>
              <w:rPr>
                <w:lang w:val="pt-BR"/>
              </w:rPr>
            </w:pPr>
            <w:r>
              <w:rPr>
                <w:lang w:val="pt-BR"/>
              </w:rPr>
              <w:t>Nicolae MELINTE</w:t>
            </w:r>
          </w:p>
          <w:p w14:paraId="7DF0B974">
            <w:pPr>
              <w:ind w:left="-284"/>
              <w:rPr>
                <w:lang w:val="pt-BR"/>
              </w:rPr>
            </w:pPr>
          </w:p>
          <w:p w14:paraId="1707848A">
            <w:pPr>
              <w:ind w:left="-284"/>
              <w:jc w:val="center"/>
              <w:rPr>
                <w:lang w:val="ro-RO"/>
              </w:rPr>
            </w:pPr>
            <w:r>
              <w:rPr>
                <w:lang w:val="ro-RO"/>
              </w:rPr>
              <w:t>_________________________</w:t>
            </w:r>
          </w:p>
          <w:p w14:paraId="16745D1B">
            <w:pPr>
              <w:jc w:val="center"/>
              <w:rPr>
                <w:b/>
                <w:lang w:val="ro-RO"/>
              </w:rPr>
            </w:pPr>
            <w:r>
              <w:rPr>
                <w:lang w:val="ro-RO"/>
              </w:rPr>
              <w:t>(</w:t>
            </w:r>
            <w:r>
              <w:rPr>
                <w:sz w:val="18"/>
                <w:szCs w:val="18"/>
                <w:lang w:val="ro-RO"/>
              </w:rPr>
              <w:t>semnătura</w:t>
            </w:r>
            <w:r>
              <w:rPr>
                <w:lang w:val="ro-RO"/>
              </w:rPr>
              <w:t>)</w:t>
            </w:r>
          </w:p>
          <w:p w14:paraId="0924866A">
            <w:pPr>
              <w:contextualSpacing/>
              <w:jc w:val="center"/>
              <w:rPr>
                <w:b/>
                <w:bCs/>
                <w:lang w:val="ro-RO"/>
              </w:rPr>
            </w:pPr>
          </w:p>
        </w:tc>
        <w:tc>
          <w:tcPr>
            <w:tcW w:w="4673" w:type="dxa"/>
          </w:tcPr>
          <w:p w14:paraId="59454D6C">
            <w:pPr>
              <w:ind w:left="-284"/>
              <w:jc w:val="center"/>
              <w:rPr>
                <w:b/>
                <w:lang w:val="ro-RO"/>
              </w:rPr>
            </w:pPr>
          </w:p>
          <w:p w14:paraId="52B81BEC">
            <w:pPr>
              <w:ind w:left="-284"/>
              <w:jc w:val="center"/>
              <w:rPr>
                <w:b/>
                <w:lang w:val="ro-RO"/>
              </w:rPr>
            </w:pPr>
            <w:r>
              <w:rPr>
                <w:b/>
                <w:lang w:val="ro-RO"/>
              </w:rPr>
              <w:t>COORDONAT</w:t>
            </w:r>
          </w:p>
          <w:p w14:paraId="7C1417F4">
            <w:pPr>
              <w:ind w:left="-284"/>
              <w:jc w:val="center"/>
              <w:rPr>
                <w:b/>
                <w:lang w:val="ro-RO"/>
              </w:rPr>
            </w:pPr>
            <w:r>
              <w:rPr>
                <w:b/>
                <w:lang w:val="ro-RO"/>
              </w:rPr>
              <w:t>Șefă, Secția Juridică și Resurse Umane</w:t>
            </w:r>
          </w:p>
          <w:p w14:paraId="29E7E913">
            <w:pPr>
              <w:ind w:left="-284"/>
              <w:jc w:val="center"/>
              <w:rPr>
                <w:lang w:val="ro-RO"/>
              </w:rPr>
            </w:pPr>
            <w:r>
              <w:rPr>
                <w:lang w:val="ro-RO"/>
              </w:rPr>
              <w:t>Oxana TABARCEA</w:t>
            </w:r>
          </w:p>
          <w:p w14:paraId="5EE941CB">
            <w:pPr>
              <w:ind w:left="-284"/>
              <w:jc w:val="center"/>
              <w:rPr>
                <w:lang w:val="fr-CA"/>
              </w:rPr>
            </w:pPr>
          </w:p>
          <w:p w14:paraId="358DEF2D">
            <w:pPr>
              <w:ind w:left="-284"/>
              <w:jc w:val="center"/>
              <w:rPr>
                <w:lang w:val="fr-CA"/>
              </w:rPr>
            </w:pPr>
            <w:r>
              <w:rPr>
                <w:lang w:val="fr-CA"/>
              </w:rPr>
              <w:t>_________________________</w:t>
            </w:r>
          </w:p>
          <w:p w14:paraId="211D5071">
            <w:pPr>
              <w:contextualSpacing/>
              <w:jc w:val="center"/>
              <w:rPr>
                <w:b/>
                <w:bCs/>
                <w:lang w:val="zh-CN"/>
              </w:rPr>
            </w:pPr>
            <w:r>
              <w:rPr>
                <w:lang w:val="ro-RO"/>
              </w:rPr>
              <w:t>(</w:t>
            </w:r>
            <w:r>
              <w:rPr>
                <w:sz w:val="18"/>
                <w:szCs w:val="18"/>
                <w:lang w:val="ro-RO"/>
              </w:rPr>
              <w:t>semnătura</w:t>
            </w:r>
            <w:r>
              <w:rPr>
                <w:lang w:val="zh-CN"/>
              </w:rPr>
              <w:t>)</w:t>
            </w:r>
          </w:p>
        </w:tc>
      </w:tr>
    </w:tbl>
    <w:p w14:paraId="2EAE7A99">
      <w:pPr>
        <w:contextualSpacing/>
        <w:jc w:val="center"/>
        <w:rPr>
          <w:b/>
          <w:bCs/>
          <w:lang w:val="ro-RO"/>
        </w:rPr>
      </w:pPr>
    </w:p>
    <w:p w14:paraId="76A1FB26"/>
    <w:p w14:paraId="3F2CCA27"/>
    <w:p w14:paraId="345422FE"/>
    <w:p w14:paraId="1ACF4889"/>
    <w:p w14:paraId="1D1E7694">
      <w:pPr>
        <w:spacing w:after="160" w:line="259" w:lineRule="auto"/>
      </w:pPr>
    </w:p>
    <w:sectPr>
      <w:pgSz w:w="11906" w:h="16838"/>
      <w:pgMar w:top="539" w:right="850" w:bottom="89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0B1F8"/>
    <w:multiLevelType w:val="singleLevel"/>
    <w:tmpl w:val="9730B1F8"/>
    <w:lvl w:ilvl="0" w:tentative="0">
      <w:start w:val="1"/>
      <w:numFmt w:val="decimal"/>
      <w:suff w:val="space"/>
      <w:lvlText w:val="%1."/>
      <w:lvlJc w:val="left"/>
      <w:rPr>
        <w:rFonts w:hint="default"/>
        <w:b/>
        <w:bCs/>
      </w:rPr>
    </w:lvl>
  </w:abstractNum>
  <w:abstractNum w:abstractNumId="1">
    <w:nsid w:val="AD279EAA"/>
    <w:multiLevelType w:val="multilevel"/>
    <w:tmpl w:val="AD279EA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D9F542F"/>
    <w:multiLevelType w:val="multilevel"/>
    <w:tmpl w:val="5D9F542F"/>
    <w:lvl w:ilvl="0" w:tentative="0">
      <w:start w:val="2"/>
      <w:numFmt w:val="decimal"/>
      <w:lvlText w:val="%1"/>
      <w:lvlJc w:val="left"/>
      <w:pPr>
        <w:ind w:left="360" w:hanging="360"/>
      </w:pPr>
      <w:rPr>
        <w:rFonts w:hint="default"/>
      </w:rPr>
    </w:lvl>
    <w:lvl w:ilvl="1" w:tentative="0">
      <w:start w:val="1"/>
      <w:numFmt w:val="decimal"/>
      <w:lvlText w:val="%1.%2"/>
      <w:lvlJc w:val="left"/>
      <w:pPr>
        <w:ind w:left="1004" w:hanging="360"/>
      </w:pPr>
      <w:rPr>
        <w:rFonts w:hint="default"/>
        <w:b/>
      </w:rPr>
    </w:lvl>
    <w:lvl w:ilvl="2" w:tentative="0">
      <w:start w:val="1"/>
      <w:numFmt w:val="decimal"/>
      <w:lvlText w:val="%1.%2.%3"/>
      <w:lvlJc w:val="left"/>
      <w:pPr>
        <w:ind w:left="2008" w:hanging="720"/>
      </w:pPr>
      <w:rPr>
        <w:rFonts w:hint="default"/>
      </w:rPr>
    </w:lvl>
    <w:lvl w:ilvl="3" w:tentative="0">
      <w:start w:val="1"/>
      <w:numFmt w:val="decimal"/>
      <w:lvlText w:val="%1.%2.%3.%4"/>
      <w:lvlJc w:val="left"/>
      <w:pPr>
        <w:ind w:left="2652" w:hanging="720"/>
      </w:pPr>
      <w:rPr>
        <w:rFonts w:hint="default"/>
      </w:rPr>
    </w:lvl>
    <w:lvl w:ilvl="4" w:tentative="0">
      <w:start w:val="1"/>
      <w:numFmt w:val="decimal"/>
      <w:lvlText w:val="%1.%2.%3.%4.%5"/>
      <w:lvlJc w:val="left"/>
      <w:pPr>
        <w:ind w:left="3656" w:hanging="1080"/>
      </w:pPr>
      <w:rPr>
        <w:rFonts w:hint="default"/>
      </w:rPr>
    </w:lvl>
    <w:lvl w:ilvl="5" w:tentative="0">
      <w:start w:val="1"/>
      <w:numFmt w:val="decimal"/>
      <w:lvlText w:val="%1.%2.%3.%4.%5.%6"/>
      <w:lvlJc w:val="left"/>
      <w:pPr>
        <w:ind w:left="4300" w:hanging="1080"/>
      </w:pPr>
      <w:rPr>
        <w:rFonts w:hint="default"/>
      </w:rPr>
    </w:lvl>
    <w:lvl w:ilvl="6" w:tentative="0">
      <w:start w:val="1"/>
      <w:numFmt w:val="decimal"/>
      <w:lvlText w:val="%1.%2.%3.%4.%5.%6.%7"/>
      <w:lvlJc w:val="left"/>
      <w:pPr>
        <w:ind w:left="5304" w:hanging="1440"/>
      </w:pPr>
      <w:rPr>
        <w:rFonts w:hint="default"/>
      </w:rPr>
    </w:lvl>
    <w:lvl w:ilvl="7" w:tentative="0">
      <w:start w:val="1"/>
      <w:numFmt w:val="decimal"/>
      <w:lvlText w:val="%1.%2.%3.%4.%5.%6.%7.%8"/>
      <w:lvlJc w:val="left"/>
      <w:pPr>
        <w:ind w:left="5948" w:hanging="1440"/>
      </w:pPr>
      <w:rPr>
        <w:rFonts w:hint="default"/>
      </w:rPr>
    </w:lvl>
    <w:lvl w:ilvl="8" w:tentative="0">
      <w:start w:val="1"/>
      <w:numFmt w:val="decimal"/>
      <w:lvlText w:val="%1.%2.%3.%4.%5.%6.%7.%8.%9"/>
      <w:lvlJc w:val="left"/>
      <w:pPr>
        <w:ind w:left="6952" w:hanging="1800"/>
      </w:pPr>
      <w:rPr>
        <w:rFonts w:hint="default"/>
      </w:rPr>
    </w:lvl>
  </w:abstractNum>
  <w:abstractNum w:abstractNumId="3">
    <w:nsid w:val="7DB6A7FB"/>
    <w:multiLevelType w:val="multilevel"/>
    <w:tmpl w:val="7DB6A7FB"/>
    <w:lvl w:ilvl="0" w:tentative="0">
      <w:start w:val="3"/>
      <w:numFmt w:val="decimal"/>
      <w:lvlText w:val="%1."/>
      <w:lvlJc w:val="left"/>
      <w:pPr>
        <w:ind w:left="2345" w:hanging="360"/>
      </w:pPr>
      <w:rPr>
        <w:rFonts w:hint="default" w:ascii="Times New Roman" w:hAnsi="Times New Roman" w:eastAsia="Times New Roman" w:cs="Times New Roman"/>
        <w:b/>
      </w:rPr>
    </w:lvl>
    <w:lvl w:ilvl="1" w:tentative="0">
      <w:start w:val="1"/>
      <w:numFmt w:val="decimal"/>
      <w:isLgl/>
      <w:lvlText w:val="%1.%2"/>
      <w:lvlJc w:val="left"/>
      <w:pPr>
        <w:ind w:left="1080" w:hanging="360"/>
      </w:pPr>
      <w:rPr>
        <w:rFonts w:hint="default"/>
        <w:b/>
        <w:bCs/>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23"/>
    <w:rsid w:val="00017C3C"/>
    <w:rsid w:val="00030AFD"/>
    <w:rsid w:val="00037374"/>
    <w:rsid w:val="00037DAF"/>
    <w:rsid w:val="00044A5E"/>
    <w:rsid w:val="000509E5"/>
    <w:rsid w:val="00066413"/>
    <w:rsid w:val="000714F8"/>
    <w:rsid w:val="00077258"/>
    <w:rsid w:val="000A246B"/>
    <w:rsid w:val="000C6A97"/>
    <w:rsid w:val="00111A4B"/>
    <w:rsid w:val="00111F6E"/>
    <w:rsid w:val="00113F6A"/>
    <w:rsid w:val="00116540"/>
    <w:rsid w:val="00117780"/>
    <w:rsid w:val="0012716D"/>
    <w:rsid w:val="0014099E"/>
    <w:rsid w:val="001506AD"/>
    <w:rsid w:val="001569BA"/>
    <w:rsid w:val="0015795C"/>
    <w:rsid w:val="001700AE"/>
    <w:rsid w:val="00170C48"/>
    <w:rsid w:val="001856AE"/>
    <w:rsid w:val="00197B84"/>
    <w:rsid w:val="001A4209"/>
    <w:rsid w:val="001A6306"/>
    <w:rsid w:val="001B3279"/>
    <w:rsid w:val="001C5A03"/>
    <w:rsid w:val="001D345B"/>
    <w:rsid w:val="001D7101"/>
    <w:rsid w:val="001E3709"/>
    <w:rsid w:val="001F6F13"/>
    <w:rsid w:val="001F74F9"/>
    <w:rsid w:val="00200E54"/>
    <w:rsid w:val="00202E0A"/>
    <w:rsid w:val="00203727"/>
    <w:rsid w:val="002109D9"/>
    <w:rsid w:val="00212B9D"/>
    <w:rsid w:val="00215C82"/>
    <w:rsid w:val="0021634C"/>
    <w:rsid w:val="00243CAF"/>
    <w:rsid w:val="00245340"/>
    <w:rsid w:val="00245974"/>
    <w:rsid w:val="00247402"/>
    <w:rsid w:val="00266C09"/>
    <w:rsid w:val="002727C0"/>
    <w:rsid w:val="002870DE"/>
    <w:rsid w:val="002B1FE6"/>
    <w:rsid w:val="002F1DF0"/>
    <w:rsid w:val="002F3C9F"/>
    <w:rsid w:val="0030106E"/>
    <w:rsid w:val="0030656C"/>
    <w:rsid w:val="00307620"/>
    <w:rsid w:val="0031055A"/>
    <w:rsid w:val="003107D6"/>
    <w:rsid w:val="0031207D"/>
    <w:rsid w:val="003266E9"/>
    <w:rsid w:val="00330251"/>
    <w:rsid w:val="003463D3"/>
    <w:rsid w:val="0036292B"/>
    <w:rsid w:val="00376B8A"/>
    <w:rsid w:val="00380DA9"/>
    <w:rsid w:val="00392D9F"/>
    <w:rsid w:val="003B4012"/>
    <w:rsid w:val="003D4DF7"/>
    <w:rsid w:val="00423B71"/>
    <w:rsid w:val="00436023"/>
    <w:rsid w:val="00440671"/>
    <w:rsid w:val="00453D8F"/>
    <w:rsid w:val="00460A52"/>
    <w:rsid w:val="00464E7A"/>
    <w:rsid w:val="0047146A"/>
    <w:rsid w:val="004777A2"/>
    <w:rsid w:val="00487946"/>
    <w:rsid w:val="00494A4D"/>
    <w:rsid w:val="00494A8C"/>
    <w:rsid w:val="004E32BF"/>
    <w:rsid w:val="004F7490"/>
    <w:rsid w:val="00510DE4"/>
    <w:rsid w:val="005112B5"/>
    <w:rsid w:val="00513DB5"/>
    <w:rsid w:val="005416BE"/>
    <w:rsid w:val="00542F9F"/>
    <w:rsid w:val="005463B7"/>
    <w:rsid w:val="00566E9C"/>
    <w:rsid w:val="00567DA1"/>
    <w:rsid w:val="00571611"/>
    <w:rsid w:val="00577106"/>
    <w:rsid w:val="00585FA3"/>
    <w:rsid w:val="00593C6F"/>
    <w:rsid w:val="005B0F27"/>
    <w:rsid w:val="005E0887"/>
    <w:rsid w:val="005E758F"/>
    <w:rsid w:val="005F49CF"/>
    <w:rsid w:val="005F4E5C"/>
    <w:rsid w:val="00643CD7"/>
    <w:rsid w:val="006459F4"/>
    <w:rsid w:val="006476BA"/>
    <w:rsid w:val="00665972"/>
    <w:rsid w:val="00666C10"/>
    <w:rsid w:val="00674010"/>
    <w:rsid w:val="00677CE0"/>
    <w:rsid w:val="0069211A"/>
    <w:rsid w:val="00695925"/>
    <w:rsid w:val="006D3418"/>
    <w:rsid w:val="006E40B1"/>
    <w:rsid w:val="006F475E"/>
    <w:rsid w:val="007002BA"/>
    <w:rsid w:val="00700735"/>
    <w:rsid w:val="00702283"/>
    <w:rsid w:val="0070280C"/>
    <w:rsid w:val="00707234"/>
    <w:rsid w:val="00714CB2"/>
    <w:rsid w:val="0072170A"/>
    <w:rsid w:val="00723824"/>
    <w:rsid w:val="00726B5E"/>
    <w:rsid w:val="00750A5B"/>
    <w:rsid w:val="007739E4"/>
    <w:rsid w:val="0077694B"/>
    <w:rsid w:val="007C2454"/>
    <w:rsid w:val="007C7AFE"/>
    <w:rsid w:val="007E63CC"/>
    <w:rsid w:val="007F53B6"/>
    <w:rsid w:val="007F7516"/>
    <w:rsid w:val="00803F54"/>
    <w:rsid w:val="00807B9C"/>
    <w:rsid w:val="00813CFD"/>
    <w:rsid w:val="00822B44"/>
    <w:rsid w:val="0082436E"/>
    <w:rsid w:val="00827CD8"/>
    <w:rsid w:val="008364CD"/>
    <w:rsid w:val="008602AA"/>
    <w:rsid w:val="00867388"/>
    <w:rsid w:val="00890159"/>
    <w:rsid w:val="008A1146"/>
    <w:rsid w:val="008A19FA"/>
    <w:rsid w:val="008B3386"/>
    <w:rsid w:val="008B590D"/>
    <w:rsid w:val="008C0D29"/>
    <w:rsid w:val="00901206"/>
    <w:rsid w:val="00921224"/>
    <w:rsid w:val="009439BE"/>
    <w:rsid w:val="009705B4"/>
    <w:rsid w:val="00986DC1"/>
    <w:rsid w:val="00987A8B"/>
    <w:rsid w:val="009954A7"/>
    <w:rsid w:val="009A5682"/>
    <w:rsid w:val="009A6AB4"/>
    <w:rsid w:val="009A7AC7"/>
    <w:rsid w:val="009D12C4"/>
    <w:rsid w:val="009E15D9"/>
    <w:rsid w:val="009F7987"/>
    <w:rsid w:val="00A178E9"/>
    <w:rsid w:val="00A21058"/>
    <w:rsid w:val="00A21BFA"/>
    <w:rsid w:val="00A330DE"/>
    <w:rsid w:val="00A42B7A"/>
    <w:rsid w:val="00A61B30"/>
    <w:rsid w:val="00A64368"/>
    <w:rsid w:val="00A90744"/>
    <w:rsid w:val="00AE20FA"/>
    <w:rsid w:val="00AE450B"/>
    <w:rsid w:val="00AF08FB"/>
    <w:rsid w:val="00AF4322"/>
    <w:rsid w:val="00AF6572"/>
    <w:rsid w:val="00B0260C"/>
    <w:rsid w:val="00B03BA5"/>
    <w:rsid w:val="00B07CA2"/>
    <w:rsid w:val="00B11B7E"/>
    <w:rsid w:val="00B23313"/>
    <w:rsid w:val="00B30CBF"/>
    <w:rsid w:val="00B32DE0"/>
    <w:rsid w:val="00B4222C"/>
    <w:rsid w:val="00B47B1D"/>
    <w:rsid w:val="00B50B14"/>
    <w:rsid w:val="00B50E5A"/>
    <w:rsid w:val="00B62253"/>
    <w:rsid w:val="00B8026E"/>
    <w:rsid w:val="00BA012F"/>
    <w:rsid w:val="00BB1B96"/>
    <w:rsid w:val="00BC26B3"/>
    <w:rsid w:val="00BE0EEC"/>
    <w:rsid w:val="00BE78E8"/>
    <w:rsid w:val="00C04B6E"/>
    <w:rsid w:val="00C13650"/>
    <w:rsid w:val="00C25FCF"/>
    <w:rsid w:val="00C30D86"/>
    <w:rsid w:val="00C377E1"/>
    <w:rsid w:val="00C64693"/>
    <w:rsid w:val="00C73488"/>
    <w:rsid w:val="00C7450D"/>
    <w:rsid w:val="00C95472"/>
    <w:rsid w:val="00C979B3"/>
    <w:rsid w:val="00CA7645"/>
    <w:rsid w:val="00CB1825"/>
    <w:rsid w:val="00CD4117"/>
    <w:rsid w:val="00CD7D38"/>
    <w:rsid w:val="00D1012D"/>
    <w:rsid w:val="00D33025"/>
    <w:rsid w:val="00D60EAB"/>
    <w:rsid w:val="00D618C9"/>
    <w:rsid w:val="00D638C4"/>
    <w:rsid w:val="00D755D0"/>
    <w:rsid w:val="00D948C8"/>
    <w:rsid w:val="00DA17FC"/>
    <w:rsid w:val="00DA42DB"/>
    <w:rsid w:val="00DC5372"/>
    <w:rsid w:val="00DC5A6A"/>
    <w:rsid w:val="00DC6280"/>
    <w:rsid w:val="00DD2165"/>
    <w:rsid w:val="00DE08E9"/>
    <w:rsid w:val="00DE0FC9"/>
    <w:rsid w:val="00DE589B"/>
    <w:rsid w:val="00DE6714"/>
    <w:rsid w:val="00E10E6D"/>
    <w:rsid w:val="00E20CA2"/>
    <w:rsid w:val="00E3248C"/>
    <w:rsid w:val="00E43703"/>
    <w:rsid w:val="00E60BEE"/>
    <w:rsid w:val="00E6333D"/>
    <w:rsid w:val="00E72DE0"/>
    <w:rsid w:val="00E84979"/>
    <w:rsid w:val="00E95BEA"/>
    <w:rsid w:val="00EB708E"/>
    <w:rsid w:val="00EC4BC1"/>
    <w:rsid w:val="00ED16D9"/>
    <w:rsid w:val="00ED65DF"/>
    <w:rsid w:val="00EE0C4E"/>
    <w:rsid w:val="00EF6CEA"/>
    <w:rsid w:val="00F015FF"/>
    <w:rsid w:val="00F17903"/>
    <w:rsid w:val="00F22E82"/>
    <w:rsid w:val="00F23953"/>
    <w:rsid w:val="00F25D09"/>
    <w:rsid w:val="00F269D0"/>
    <w:rsid w:val="00F4084D"/>
    <w:rsid w:val="00F45D58"/>
    <w:rsid w:val="00F5006B"/>
    <w:rsid w:val="00F90AD6"/>
    <w:rsid w:val="00F9684B"/>
    <w:rsid w:val="00FA0171"/>
    <w:rsid w:val="00FF3802"/>
    <w:rsid w:val="32B11BF8"/>
    <w:rsid w:val="660D1C4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8"/>
    <w:qFormat/>
    <w:uiPriority w:val="0"/>
    <w:pPr>
      <w:keepNext/>
      <w:outlineLvl w:val="0"/>
    </w:pPr>
    <w:rPr>
      <w:b/>
      <w:sz w:val="28"/>
      <w:szCs w:val="20"/>
      <w:lang w:val="en-US"/>
    </w:rPr>
  </w:style>
  <w:style w:type="paragraph" w:styleId="3">
    <w:name w:val="heading 2"/>
    <w:basedOn w:val="1"/>
    <w:next w:val="1"/>
    <w:link w:val="23"/>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4"/>
    <w:semiHidden/>
    <w:unhideWhenUsed/>
    <w:uiPriority w:val="99"/>
    <w:rPr>
      <w:rFonts w:ascii="Tahoma" w:hAnsi="Tahoma" w:cs="Tahoma"/>
      <w:sz w:val="16"/>
      <w:szCs w:val="16"/>
    </w:rPr>
  </w:style>
  <w:style w:type="paragraph" w:styleId="7">
    <w:name w:val="Plain Text"/>
    <w:basedOn w:val="1"/>
    <w:link w:val="13"/>
    <w:uiPriority w:val="0"/>
    <w:rPr>
      <w:rFonts w:ascii="Courier New" w:hAnsi="Courier New"/>
      <w:sz w:val="20"/>
      <w:szCs w:val="20"/>
    </w:rPr>
  </w:style>
  <w:style w:type="paragraph" w:styleId="8">
    <w:name w:val="header"/>
    <w:basedOn w:val="1"/>
    <w:link w:val="26"/>
    <w:unhideWhenUsed/>
    <w:qFormat/>
    <w:uiPriority w:val="99"/>
    <w:pPr>
      <w:tabs>
        <w:tab w:val="center" w:pos="4536"/>
        <w:tab w:val="right" w:pos="9072"/>
      </w:tabs>
    </w:pPr>
  </w:style>
  <w:style w:type="paragraph" w:styleId="9">
    <w:name w:val="Title"/>
    <w:basedOn w:val="1"/>
    <w:link w:val="24"/>
    <w:qFormat/>
    <w:uiPriority w:val="0"/>
    <w:pPr>
      <w:jc w:val="center"/>
    </w:pPr>
    <w:rPr>
      <w:b/>
      <w:szCs w:val="20"/>
      <w:lang w:val="ro-RO"/>
    </w:rPr>
  </w:style>
  <w:style w:type="paragraph" w:styleId="10">
    <w:name w:val="footer"/>
    <w:basedOn w:val="1"/>
    <w:link w:val="27"/>
    <w:unhideWhenUsed/>
    <w:qFormat/>
    <w:uiPriority w:val="99"/>
    <w:pPr>
      <w:tabs>
        <w:tab w:val="center" w:pos="4536"/>
        <w:tab w:val="right" w:pos="9072"/>
      </w:tabs>
    </w:pPr>
  </w:style>
  <w:style w:type="paragraph" w:styleId="11">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12">
    <w:name w:val="Table Grid"/>
    <w:basedOn w:val="5"/>
    <w:uiPriority w:val="39"/>
    <w:pPr>
      <w:spacing w:after="0" w:line="240" w:lineRule="auto"/>
    </w:pPr>
    <w:rPr>
      <w:rFonts w:ascii="Times New Roman" w:hAnsi="Times New Roman" w:eastAsia="Times New Roman" w:cs="Times New Roman"/>
      <w:sz w:val="20"/>
      <w:szCs w:val="20"/>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Знак"/>
    <w:basedOn w:val="4"/>
    <w:link w:val="7"/>
    <w:qFormat/>
    <w:uiPriority w:val="0"/>
    <w:rPr>
      <w:rFonts w:ascii="Courier New" w:hAnsi="Courier New" w:eastAsia="Times New Roman" w:cs="Times New Roman"/>
      <w:sz w:val="20"/>
      <w:szCs w:val="20"/>
      <w:lang w:eastAsia="ru-RU"/>
    </w:rPr>
  </w:style>
  <w:style w:type="character" w:customStyle="1" w:styleId="14">
    <w:name w:val="Текст выноски Знак"/>
    <w:basedOn w:val="4"/>
    <w:link w:val="6"/>
    <w:semiHidden/>
    <w:uiPriority w:val="99"/>
    <w:rPr>
      <w:rFonts w:ascii="Tahoma" w:hAnsi="Tahoma" w:eastAsia="Times New Roman" w:cs="Tahoma"/>
      <w:sz w:val="16"/>
      <w:szCs w:val="16"/>
      <w:lang w:eastAsia="ru-RU"/>
    </w:rPr>
  </w:style>
  <w:style w:type="paragraph" w:styleId="15">
    <w:name w:val="List Paragraph"/>
    <w:basedOn w:val="1"/>
    <w:link w:val="28"/>
    <w:qFormat/>
    <w:uiPriority w:val="34"/>
    <w:pPr>
      <w:ind w:left="720"/>
      <w:contextualSpacing/>
    </w:pPr>
  </w:style>
  <w:style w:type="character" w:customStyle="1" w:styleId="16">
    <w:name w:val="apple-converted-space"/>
    <w:basedOn w:val="4"/>
    <w:qFormat/>
    <w:uiPriority w:val="0"/>
  </w:style>
  <w:style w:type="character" w:customStyle="1" w:styleId="17">
    <w:name w:val="doc_header"/>
    <w:basedOn w:val="4"/>
    <w:qFormat/>
    <w:uiPriority w:val="0"/>
  </w:style>
  <w:style w:type="character" w:customStyle="1" w:styleId="18">
    <w:name w:val="Заголовок 1 Знак"/>
    <w:basedOn w:val="4"/>
    <w:link w:val="2"/>
    <w:uiPriority w:val="0"/>
    <w:rPr>
      <w:rFonts w:ascii="Times New Roman" w:hAnsi="Times New Roman" w:eastAsia="Times New Roman" w:cs="Times New Roman"/>
      <w:b/>
      <w:sz w:val="28"/>
      <w:szCs w:val="20"/>
      <w:lang w:val="en-US" w:eastAsia="ru-RU"/>
    </w:rPr>
  </w:style>
  <w:style w:type="paragraph" w:customStyle="1" w:styleId="19">
    <w:name w:val="Без интервала1"/>
    <w:qFormat/>
    <w:uiPriority w:val="0"/>
    <w:pPr>
      <w:spacing w:after="0" w:line="240" w:lineRule="auto"/>
    </w:pPr>
    <w:rPr>
      <w:rFonts w:ascii="Calibri" w:hAnsi="Calibri" w:eastAsia="Calibri" w:cs="Times New Roman"/>
      <w:sz w:val="22"/>
      <w:szCs w:val="22"/>
      <w:lang w:val="en-US" w:eastAsia="en-US" w:bidi="ar-SA"/>
    </w:rPr>
  </w:style>
  <w:style w:type="paragraph" w:customStyle="1" w:styleId="20">
    <w:name w:val="msonormalcxspmiddle"/>
    <w:basedOn w:val="1"/>
    <w:qFormat/>
    <w:uiPriority w:val="0"/>
    <w:pPr>
      <w:spacing w:before="100" w:beforeAutospacing="1" w:after="100" w:afterAutospacing="1"/>
    </w:pPr>
  </w:style>
  <w:style w:type="paragraph" w:customStyle="1" w:styleId="21">
    <w:name w:val="Без интервала2"/>
    <w:uiPriority w:val="0"/>
    <w:pPr>
      <w:spacing w:after="0" w:line="240" w:lineRule="auto"/>
    </w:pPr>
    <w:rPr>
      <w:rFonts w:ascii="Calibri" w:hAnsi="Calibri" w:eastAsia="Calibri" w:cs="Times New Roman"/>
      <w:sz w:val="22"/>
      <w:szCs w:val="22"/>
      <w:lang w:val="en-US" w:eastAsia="en-US" w:bidi="ar-SA"/>
    </w:rPr>
  </w:style>
  <w:style w:type="paragraph" w:styleId="22">
    <w:name w:val="No Spacing"/>
    <w:qFormat/>
    <w:uiPriority w:val="0"/>
    <w:pPr>
      <w:spacing w:after="0" w:line="240" w:lineRule="auto"/>
    </w:pPr>
    <w:rPr>
      <w:rFonts w:asciiTheme="minorHAnsi" w:hAnsiTheme="minorHAnsi" w:eastAsiaTheme="minorEastAsia" w:cstheme="minorBidi"/>
      <w:sz w:val="22"/>
      <w:szCs w:val="22"/>
      <w:lang w:val="en-US" w:eastAsia="en-US" w:bidi="ar-SA"/>
    </w:rPr>
  </w:style>
  <w:style w:type="character" w:customStyle="1" w:styleId="23">
    <w:name w:val="Заголовок 2 Знак"/>
    <w:basedOn w:val="4"/>
    <w:link w:val="3"/>
    <w:semiHidden/>
    <w:uiPriority w:val="9"/>
    <w:rPr>
      <w:rFonts w:asciiTheme="majorHAnsi" w:hAnsiTheme="majorHAnsi" w:eastAsiaTheme="majorEastAsia" w:cstheme="majorBidi"/>
      <w:color w:val="2E75B6" w:themeColor="accent1" w:themeShade="BF"/>
      <w:sz w:val="26"/>
      <w:szCs w:val="26"/>
      <w:lang w:eastAsia="ru-RU"/>
    </w:rPr>
  </w:style>
  <w:style w:type="character" w:customStyle="1" w:styleId="24">
    <w:name w:val="Название Знак"/>
    <w:basedOn w:val="4"/>
    <w:link w:val="9"/>
    <w:qFormat/>
    <w:uiPriority w:val="0"/>
    <w:rPr>
      <w:rFonts w:ascii="Times New Roman" w:hAnsi="Times New Roman" w:eastAsia="Times New Roman" w:cs="Times New Roman"/>
      <w:b/>
      <w:sz w:val="24"/>
      <w:szCs w:val="20"/>
      <w:lang w:val="ro-RO" w:eastAsia="ru-RU"/>
    </w:rPr>
  </w:style>
  <w:style w:type="paragraph" w:customStyle="1" w:styleId="25">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26">
    <w:name w:val="Верхний колонтитул Знак"/>
    <w:basedOn w:val="4"/>
    <w:link w:val="8"/>
    <w:qFormat/>
    <w:uiPriority w:val="99"/>
    <w:rPr>
      <w:rFonts w:ascii="Times New Roman" w:hAnsi="Times New Roman" w:eastAsia="Times New Roman" w:cs="Times New Roman"/>
      <w:sz w:val="24"/>
      <w:szCs w:val="24"/>
      <w:lang w:eastAsia="ru-RU"/>
    </w:rPr>
  </w:style>
  <w:style w:type="character" w:customStyle="1" w:styleId="27">
    <w:name w:val="Нижний колонтитул Знак"/>
    <w:basedOn w:val="4"/>
    <w:link w:val="10"/>
    <w:qFormat/>
    <w:uiPriority w:val="99"/>
    <w:rPr>
      <w:rFonts w:ascii="Times New Roman" w:hAnsi="Times New Roman" w:eastAsia="Times New Roman" w:cs="Times New Roman"/>
      <w:sz w:val="24"/>
      <w:szCs w:val="24"/>
      <w:lang w:eastAsia="ru-RU"/>
    </w:rPr>
  </w:style>
  <w:style w:type="character" w:customStyle="1" w:styleId="28">
    <w:name w:val="Абзац списка Знак"/>
    <w:basedOn w:val="4"/>
    <w:link w:val="15"/>
    <w:qFormat/>
    <w:locked/>
    <w:uiPriority w:val="34"/>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FCB4C-E8D2-4DFE-90AD-CB2875CE612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1245</Words>
  <Characters>7098</Characters>
  <Lines>59</Lines>
  <Paragraphs>16</Paragraphs>
  <TotalTime>5</TotalTime>
  <ScaleCrop>false</ScaleCrop>
  <LinksUpToDate>false</LinksUpToDate>
  <CharactersWithSpaces>8327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2026-05-27T08:40:00Z</dcterms:created>
  <dc:creator>Master</dc:creator>
  <cp:lastModifiedBy>Iulian Erimei</cp:lastModifiedBy>
  <cp:lastPrinted>2026-06-08T13:23:52Z</cp:lastPrinted>
  <dcterms:modified xsi:type="dcterms:W3CDTF">2026-06-08T13:42:05Z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5FDC27B95C974E14A5C23D6B6AF8B445_13</vt:lpwstr>
  </property>
</Properties>
</file>