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DB2363">
      <w:pPr>
        <w:pStyle w:val="10"/>
        <w:jc w:val="right"/>
        <w:rPr>
          <w:rFonts w:cs="Times New Roman"/>
          <w:b/>
          <w:i/>
          <w:sz w:val="22"/>
          <w:szCs w:val="22"/>
        </w:rPr>
      </w:pPr>
      <w:r>
        <w:rPr>
          <w:rFonts w:cs="Times New Roman"/>
          <w:b/>
          <w:i/>
          <w:sz w:val="22"/>
          <w:szCs w:val="22"/>
        </w:rPr>
        <w:t>Anexa nr. 1</w:t>
      </w:r>
    </w:p>
    <w:p w14:paraId="22E98560">
      <w:pPr>
        <w:pStyle w:val="10"/>
        <w:jc w:val="right"/>
        <w:rPr>
          <w:rFonts w:cs="Times New Roman"/>
          <w:b/>
          <w:i/>
          <w:sz w:val="22"/>
          <w:szCs w:val="22"/>
        </w:rPr>
      </w:pPr>
      <w:r>
        <w:rPr>
          <w:rFonts w:cs="Times New Roman"/>
          <w:b/>
          <w:i/>
          <w:sz w:val="22"/>
          <w:szCs w:val="22"/>
        </w:rPr>
        <w:t>La Decizia nr._____din ______2026</w:t>
      </w:r>
    </w:p>
    <w:p w14:paraId="7255EFBD">
      <w:pPr>
        <w:pStyle w:val="10"/>
        <w:jc w:val="center"/>
        <w:rPr>
          <w:rFonts w:cs="Times New Roman"/>
          <w:b/>
          <w:sz w:val="40"/>
          <w:szCs w:val="40"/>
        </w:rPr>
      </w:pPr>
    </w:p>
    <w:p w14:paraId="169D80F6">
      <w:pPr>
        <w:pStyle w:val="10"/>
        <w:jc w:val="center"/>
        <w:rPr>
          <w:rFonts w:cs="Times New Roman"/>
          <w:b/>
          <w:sz w:val="40"/>
          <w:szCs w:val="40"/>
        </w:rPr>
      </w:pPr>
      <w:r>
        <w:rPr>
          <w:rFonts w:cs="Times New Roman"/>
          <w:b/>
          <w:sz w:val="40"/>
          <w:szCs w:val="40"/>
        </w:rPr>
        <w:t>PROGRAMUL  TERITORIAL</w:t>
      </w:r>
    </w:p>
    <w:p w14:paraId="0A74FFB2">
      <w:pPr>
        <w:pStyle w:val="10"/>
        <w:jc w:val="center"/>
        <w:rPr>
          <w:rFonts w:cs="Times New Roman"/>
          <w:b/>
          <w:sz w:val="40"/>
          <w:szCs w:val="40"/>
        </w:rPr>
      </w:pPr>
      <w:r>
        <w:rPr>
          <w:rFonts w:cs="Times New Roman"/>
          <w:b/>
          <w:sz w:val="40"/>
          <w:szCs w:val="40"/>
        </w:rPr>
        <w:t>de răspuns la tuberculoză în raionul Sîngerei</w:t>
      </w:r>
    </w:p>
    <w:p w14:paraId="33692A19">
      <w:pPr>
        <w:pStyle w:val="10"/>
        <w:jc w:val="center"/>
        <w:rPr>
          <w:rFonts w:cs="Times New Roman"/>
          <w:b/>
          <w:sz w:val="40"/>
          <w:szCs w:val="40"/>
        </w:rPr>
      </w:pPr>
      <w:r>
        <w:rPr>
          <w:rFonts w:cs="Times New Roman"/>
          <w:b/>
          <w:sz w:val="40"/>
          <w:szCs w:val="40"/>
        </w:rPr>
        <w:t xml:space="preserve"> pentru anii 2026-2030</w:t>
      </w:r>
    </w:p>
    <w:p w14:paraId="6480C2EC">
      <w:pPr>
        <w:pStyle w:val="10"/>
        <w:jc w:val="center"/>
        <w:rPr>
          <w:rFonts w:cs="Times New Roman"/>
          <w:b/>
        </w:rPr>
      </w:pPr>
    </w:p>
    <w:p w14:paraId="3AC2D2D8">
      <w:pPr>
        <w:pStyle w:val="2"/>
        <w:tabs>
          <w:tab w:val="left" w:pos="4427"/>
        </w:tabs>
        <w:ind w:left="0"/>
        <w:jc w:val="both"/>
        <w:rPr>
          <w:rFonts w:cs="Times New Roman"/>
        </w:rPr>
      </w:pPr>
      <w:r>
        <w:rPr>
          <w:rFonts w:cs="Times New Roman"/>
          <w:spacing w:val="-2"/>
          <w:w w:val="115"/>
          <w:sz w:val="22"/>
        </w:rPr>
        <w:t>I INTRODUCERE</w:t>
      </w:r>
    </w:p>
    <w:p w14:paraId="5F1F6CA7">
      <w:pPr>
        <w:pStyle w:val="10"/>
        <w:tabs>
          <w:tab w:val="left" w:pos="567"/>
          <w:tab w:val="left" w:pos="709"/>
        </w:tabs>
        <w:jc w:val="both"/>
        <w:rPr>
          <w:rFonts w:cs="Times New Roman"/>
          <w:b/>
        </w:rPr>
      </w:pPr>
    </w:p>
    <w:p w14:paraId="539827BF">
      <w:pPr>
        <w:pStyle w:val="15"/>
        <w:numPr>
          <w:ilvl w:val="0"/>
          <w:numId w:val="1"/>
        </w:numPr>
        <w:tabs>
          <w:tab w:val="left" w:pos="567"/>
          <w:tab w:val="left" w:pos="709"/>
          <w:tab w:val="left" w:pos="1151"/>
        </w:tabs>
        <w:spacing w:line="271" w:lineRule="auto"/>
        <w:ind w:left="0" w:right="139" w:firstLine="567"/>
        <w:jc w:val="both"/>
        <w:rPr>
          <w:rFonts w:cs="Times New Roman"/>
          <w:sz w:val="24"/>
        </w:rPr>
      </w:pPr>
      <w:r>
        <w:rPr>
          <w:rFonts w:cs="Times New Roman"/>
          <w:w w:val="105"/>
          <w:sz w:val="24"/>
        </w:rPr>
        <w:t>Tuberculoza (TB) continuă să reprezinte o prioritate majoră de sănătate publică în Raionul Sîngerei,</w:t>
      </w:r>
      <w:r>
        <w:rPr>
          <w:rFonts w:cs="Times New Roman"/>
          <w:spacing w:val="35"/>
          <w:w w:val="105"/>
          <w:sz w:val="24"/>
        </w:rPr>
        <w:t xml:space="preserve"> </w:t>
      </w:r>
      <w:r>
        <w:rPr>
          <w:rFonts w:cs="Times New Roman"/>
          <w:w w:val="105"/>
          <w:sz w:val="24"/>
        </w:rPr>
        <w:t>fiind</w:t>
      </w:r>
      <w:r>
        <w:rPr>
          <w:rFonts w:cs="Times New Roman"/>
          <w:spacing w:val="35"/>
          <w:w w:val="105"/>
          <w:sz w:val="24"/>
        </w:rPr>
        <w:t xml:space="preserve"> </w:t>
      </w:r>
      <w:r>
        <w:rPr>
          <w:rFonts w:cs="Times New Roman"/>
          <w:w w:val="105"/>
          <w:sz w:val="24"/>
        </w:rPr>
        <w:t>recunoscută</w:t>
      </w:r>
      <w:r>
        <w:rPr>
          <w:rFonts w:cs="Times New Roman"/>
          <w:spacing w:val="35"/>
          <w:w w:val="105"/>
          <w:sz w:val="24"/>
        </w:rPr>
        <w:t xml:space="preserve"> </w:t>
      </w:r>
      <w:r>
        <w:rPr>
          <w:rFonts w:cs="Times New Roman"/>
          <w:w w:val="105"/>
          <w:sz w:val="24"/>
        </w:rPr>
        <w:t>ca</w:t>
      </w:r>
      <w:r>
        <w:rPr>
          <w:rFonts w:cs="Times New Roman"/>
          <w:spacing w:val="35"/>
          <w:w w:val="105"/>
          <w:sz w:val="24"/>
        </w:rPr>
        <w:t xml:space="preserve"> </w:t>
      </w:r>
      <w:r>
        <w:rPr>
          <w:rFonts w:cs="Times New Roman"/>
          <w:w w:val="105"/>
          <w:sz w:val="24"/>
        </w:rPr>
        <w:t>o</w:t>
      </w:r>
      <w:r>
        <w:rPr>
          <w:rFonts w:cs="Times New Roman"/>
          <w:spacing w:val="35"/>
          <w:w w:val="105"/>
          <w:sz w:val="24"/>
        </w:rPr>
        <w:t xml:space="preserve"> </w:t>
      </w:r>
      <w:r>
        <w:rPr>
          <w:rFonts w:cs="Times New Roman"/>
          <w:w w:val="105"/>
          <w:sz w:val="24"/>
        </w:rPr>
        <w:t>problemă</w:t>
      </w:r>
      <w:r>
        <w:rPr>
          <w:rFonts w:cs="Times New Roman"/>
          <w:spacing w:val="35"/>
          <w:w w:val="105"/>
          <w:sz w:val="24"/>
        </w:rPr>
        <w:t xml:space="preserve"> </w:t>
      </w:r>
      <w:r>
        <w:rPr>
          <w:rFonts w:cs="Times New Roman"/>
          <w:w w:val="105"/>
          <w:sz w:val="24"/>
        </w:rPr>
        <w:t>strategică</w:t>
      </w:r>
      <w:r>
        <w:rPr>
          <w:rFonts w:cs="Times New Roman"/>
          <w:spacing w:val="35"/>
          <w:w w:val="105"/>
          <w:sz w:val="24"/>
        </w:rPr>
        <w:t xml:space="preserve"> </w:t>
      </w:r>
      <w:r>
        <w:rPr>
          <w:rFonts w:cs="Times New Roman"/>
          <w:w w:val="105"/>
          <w:sz w:val="24"/>
        </w:rPr>
        <w:t>la</w:t>
      </w:r>
      <w:r>
        <w:rPr>
          <w:rFonts w:cs="Times New Roman"/>
          <w:spacing w:val="35"/>
          <w:w w:val="105"/>
          <w:sz w:val="24"/>
        </w:rPr>
        <w:t xml:space="preserve"> </w:t>
      </w:r>
      <w:r>
        <w:rPr>
          <w:rFonts w:cs="Times New Roman"/>
          <w:w w:val="105"/>
          <w:sz w:val="24"/>
        </w:rPr>
        <w:t>nivel</w:t>
      </w:r>
      <w:r>
        <w:rPr>
          <w:rFonts w:cs="Times New Roman"/>
          <w:spacing w:val="35"/>
          <w:w w:val="105"/>
          <w:sz w:val="24"/>
        </w:rPr>
        <w:t xml:space="preserve"> </w:t>
      </w:r>
      <w:r>
        <w:rPr>
          <w:rFonts w:cs="Times New Roman"/>
          <w:w w:val="105"/>
          <w:sz w:val="24"/>
        </w:rPr>
        <w:t>național.</w:t>
      </w:r>
      <w:r>
        <w:rPr>
          <w:rFonts w:cs="Times New Roman"/>
          <w:spacing w:val="35"/>
          <w:w w:val="105"/>
          <w:sz w:val="24"/>
        </w:rPr>
        <w:t xml:space="preserve"> </w:t>
      </w:r>
      <w:r>
        <w:rPr>
          <w:rFonts w:cs="Times New Roman"/>
          <w:w w:val="105"/>
          <w:sz w:val="24"/>
        </w:rPr>
        <w:t>Prevenirea și controlul tuberculozei constituie obiective esențiale ale sistemului teritorial de sănătate, în conformitate cu angajamentele internaționale asumate de țară, inclusiv cu cele privind atingerea obiectivelor globale de eliminare a tuberculozei.</w:t>
      </w:r>
    </w:p>
    <w:p w14:paraId="0F39A581">
      <w:pPr>
        <w:pStyle w:val="15"/>
        <w:numPr>
          <w:ilvl w:val="0"/>
          <w:numId w:val="1"/>
        </w:numPr>
        <w:tabs>
          <w:tab w:val="left" w:pos="567"/>
          <w:tab w:val="left" w:pos="709"/>
          <w:tab w:val="left" w:pos="1224"/>
        </w:tabs>
        <w:spacing w:line="271" w:lineRule="auto"/>
        <w:ind w:left="0" w:right="129" w:firstLine="567"/>
        <w:jc w:val="both"/>
        <w:rPr>
          <w:rFonts w:cs="Times New Roman"/>
          <w:sz w:val="24"/>
        </w:rPr>
      </w:pPr>
      <w:r>
        <w:rPr>
          <w:rFonts w:cs="Times New Roman"/>
          <w:spacing w:val="10"/>
          <w:w w:val="105"/>
          <w:sz w:val="24"/>
        </w:rPr>
        <w:t xml:space="preserve">Programul Teritorial </w:t>
      </w:r>
      <w:r>
        <w:rPr>
          <w:rFonts w:cs="Times New Roman"/>
          <w:w w:val="105"/>
          <w:sz w:val="24"/>
        </w:rPr>
        <w:t xml:space="preserve">de </w:t>
      </w:r>
      <w:r>
        <w:rPr>
          <w:rFonts w:cs="Times New Roman"/>
          <w:spacing w:val="9"/>
          <w:w w:val="105"/>
          <w:sz w:val="24"/>
        </w:rPr>
        <w:t xml:space="preserve">răspuns </w:t>
      </w:r>
      <w:r>
        <w:rPr>
          <w:rFonts w:cs="Times New Roman"/>
          <w:w w:val="105"/>
          <w:sz w:val="24"/>
        </w:rPr>
        <w:t xml:space="preserve">la </w:t>
      </w:r>
      <w:r>
        <w:rPr>
          <w:rFonts w:cs="Times New Roman"/>
          <w:spacing w:val="10"/>
          <w:w w:val="105"/>
          <w:sz w:val="24"/>
        </w:rPr>
        <w:t xml:space="preserve">tuberculoză pentru </w:t>
      </w:r>
      <w:r>
        <w:rPr>
          <w:rFonts w:cs="Times New Roman"/>
          <w:w w:val="105"/>
          <w:sz w:val="24"/>
        </w:rPr>
        <w:t xml:space="preserve">anii </w:t>
      </w:r>
      <w:r>
        <w:rPr>
          <w:rFonts w:cs="Times New Roman"/>
          <w:spacing w:val="11"/>
          <w:w w:val="105"/>
          <w:sz w:val="24"/>
        </w:rPr>
        <w:t>2026-</w:t>
      </w:r>
      <w:r>
        <w:rPr>
          <w:rFonts w:cs="Times New Roman"/>
          <w:w w:val="105"/>
          <w:sz w:val="24"/>
        </w:rPr>
        <w:t xml:space="preserve">2030 </w:t>
      </w:r>
      <w:r>
        <w:rPr>
          <w:rFonts w:cs="Times New Roman"/>
          <w:spacing w:val="36"/>
          <w:w w:val="105"/>
          <w:sz w:val="24"/>
        </w:rPr>
        <w:t xml:space="preserve"> </w:t>
      </w:r>
      <w:r>
        <w:rPr>
          <w:rFonts w:cs="Times New Roman"/>
          <w:w w:val="105"/>
          <w:sz w:val="24"/>
        </w:rPr>
        <w:t>reprezintă</w:t>
      </w:r>
      <w:r>
        <w:rPr>
          <w:rFonts w:cs="Times New Roman"/>
          <w:spacing w:val="36"/>
          <w:w w:val="105"/>
          <w:sz w:val="24"/>
        </w:rPr>
        <w:t xml:space="preserve"> </w:t>
      </w:r>
      <w:r>
        <w:rPr>
          <w:rFonts w:cs="Times New Roman"/>
          <w:w w:val="105"/>
          <w:sz w:val="24"/>
        </w:rPr>
        <w:t>documentul</w:t>
      </w:r>
      <w:r>
        <w:rPr>
          <w:rFonts w:cs="Times New Roman"/>
          <w:spacing w:val="36"/>
          <w:w w:val="105"/>
          <w:sz w:val="24"/>
        </w:rPr>
        <w:t xml:space="preserve"> </w:t>
      </w:r>
      <w:r>
        <w:rPr>
          <w:rFonts w:cs="Times New Roman"/>
          <w:w w:val="105"/>
          <w:sz w:val="24"/>
        </w:rPr>
        <w:t>strategic</w:t>
      </w:r>
      <w:r>
        <w:rPr>
          <w:rFonts w:cs="Times New Roman"/>
          <w:spacing w:val="36"/>
          <w:w w:val="105"/>
          <w:sz w:val="24"/>
        </w:rPr>
        <w:t xml:space="preserve"> </w:t>
      </w:r>
      <w:r>
        <w:rPr>
          <w:rFonts w:cs="Times New Roman"/>
          <w:w w:val="105"/>
          <w:sz w:val="24"/>
        </w:rPr>
        <w:t>de</w:t>
      </w:r>
      <w:r>
        <w:rPr>
          <w:rFonts w:cs="Times New Roman"/>
          <w:spacing w:val="36"/>
          <w:w w:val="105"/>
          <w:sz w:val="24"/>
        </w:rPr>
        <w:t xml:space="preserve"> </w:t>
      </w:r>
      <w:r>
        <w:rPr>
          <w:rFonts w:cs="Times New Roman"/>
          <w:w w:val="105"/>
          <w:sz w:val="24"/>
        </w:rPr>
        <w:t>politici</w:t>
      </w:r>
      <w:r>
        <w:rPr>
          <w:rFonts w:cs="Times New Roman"/>
          <w:spacing w:val="36"/>
          <w:w w:val="105"/>
          <w:sz w:val="24"/>
        </w:rPr>
        <w:t xml:space="preserve"> </w:t>
      </w:r>
      <w:r>
        <w:rPr>
          <w:rFonts w:cs="Times New Roman"/>
          <w:w w:val="105"/>
          <w:sz w:val="24"/>
        </w:rPr>
        <w:t>publice</w:t>
      </w:r>
      <w:r>
        <w:rPr>
          <w:rFonts w:cs="Times New Roman"/>
          <w:spacing w:val="36"/>
          <w:w w:val="105"/>
          <w:sz w:val="24"/>
        </w:rPr>
        <w:t xml:space="preserve"> </w:t>
      </w:r>
      <w:r>
        <w:rPr>
          <w:rFonts w:cs="Times New Roman"/>
          <w:w w:val="105"/>
          <w:sz w:val="24"/>
        </w:rPr>
        <w:t>pe</w:t>
      </w:r>
      <w:r>
        <w:rPr>
          <w:rFonts w:cs="Times New Roman"/>
          <w:spacing w:val="36"/>
          <w:w w:val="105"/>
          <w:sz w:val="24"/>
        </w:rPr>
        <w:t xml:space="preserve"> </w:t>
      </w:r>
      <w:r>
        <w:rPr>
          <w:rFonts w:cs="Times New Roman"/>
          <w:w w:val="105"/>
          <w:sz w:val="24"/>
        </w:rPr>
        <w:t>termen</w:t>
      </w:r>
      <w:r>
        <w:rPr>
          <w:rFonts w:cs="Times New Roman"/>
          <w:spacing w:val="36"/>
          <w:w w:val="105"/>
          <w:sz w:val="24"/>
        </w:rPr>
        <w:t xml:space="preserve"> </w:t>
      </w:r>
      <w:r>
        <w:rPr>
          <w:rFonts w:cs="Times New Roman"/>
          <w:w w:val="105"/>
          <w:sz w:val="24"/>
        </w:rPr>
        <w:t>mediu</w:t>
      </w:r>
      <w:r>
        <w:rPr>
          <w:rFonts w:cs="Times New Roman"/>
          <w:w w:val="105"/>
          <w:sz w:val="24"/>
          <w:szCs w:val="24"/>
        </w:rPr>
        <w:t xml:space="preserve"> care reflectă angajamentul ferm al Guvernului de a reduce povara tuberculozei prin implementarea</w:t>
      </w:r>
      <w:r>
        <w:rPr>
          <w:rFonts w:cs="Times New Roman"/>
          <w:spacing w:val="40"/>
          <w:w w:val="105"/>
          <w:sz w:val="24"/>
          <w:szCs w:val="24"/>
        </w:rPr>
        <w:t xml:space="preserve"> </w:t>
      </w:r>
      <w:r>
        <w:rPr>
          <w:rFonts w:cs="Times New Roman"/>
          <w:w w:val="105"/>
          <w:sz w:val="24"/>
          <w:szCs w:val="24"/>
        </w:rPr>
        <w:t>unor</w:t>
      </w:r>
      <w:r>
        <w:rPr>
          <w:rFonts w:cs="Times New Roman"/>
          <w:spacing w:val="40"/>
          <w:w w:val="105"/>
          <w:sz w:val="24"/>
          <w:szCs w:val="24"/>
        </w:rPr>
        <w:t xml:space="preserve"> </w:t>
      </w:r>
      <w:r>
        <w:rPr>
          <w:rFonts w:cs="Times New Roman"/>
          <w:w w:val="105"/>
          <w:sz w:val="24"/>
          <w:szCs w:val="24"/>
        </w:rPr>
        <w:t>intervenții</w:t>
      </w:r>
      <w:r>
        <w:rPr>
          <w:rFonts w:cs="Times New Roman"/>
          <w:spacing w:val="40"/>
          <w:w w:val="105"/>
          <w:sz w:val="24"/>
          <w:szCs w:val="24"/>
        </w:rPr>
        <w:t xml:space="preserve"> </w:t>
      </w:r>
      <w:r>
        <w:rPr>
          <w:rFonts w:cs="Times New Roman"/>
          <w:w w:val="105"/>
          <w:sz w:val="24"/>
          <w:szCs w:val="24"/>
        </w:rPr>
        <w:t>inovatoare,</w:t>
      </w:r>
      <w:r>
        <w:rPr>
          <w:rFonts w:cs="Times New Roman"/>
          <w:spacing w:val="40"/>
          <w:w w:val="105"/>
          <w:sz w:val="24"/>
          <w:szCs w:val="24"/>
        </w:rPr>
        <w:t xml:space="preserve"> </w:t>
      </w:r>
      <w:r>
        <w:rPr>
          <w:rFonts w:cs="Times New Roman"/>
          <w:w w:val="105"/>
          <w:sz w:val="24"/>
          <w:szCs w:val="24"/>
        </w:rPr>
        <w:t>bazate</w:t>
      </w:r>
      <w:r>
        <w:rPr>
          <w:rFonts w:cs="Times New Roman"/>
          <w:spacing w:val="40"/>
          <w:w w:val="105"/>
          <w:sz w:val="24"/>
          <w:szCs w:val="24"/>
        </w:rPr>
        <w:t xml:space="preserve"> </w:t>
      </w:r>
      <w:r>
        <w:rPr>
          <w:rFonts w:cs="Times New Roman"/>
          <w:w w:val="105"/>
          <w:sz w:val="24"/>
          <w:szCs w:val="24"/>
        </w:rPr>
        <w:t>pe</w:t>
      </w:r>
      <w:r>
        <w:rPr>
          <w:rFonts w:cs="Times New Roman"/>
          <w:spacing w:val="40"/>
          <w:w w:val="105"/>
          <w:sz w:val="24"/>
          <w:szCs w:val="24"/>
        </w:rPr>
        <w:t xml:space="preserve"> </w:t>
      </w:r>
      <w:r>
        <w:rPr>
          <w:rFonts w:cs="Times New Roman"/>
          <w:w w:val="105"/>
          <w:sz w:val="24"/>
          <w:szCs w:val="24"/>
        </w:rPr>
        <w:t>dovezi,</w:t>
      </w:r>
      <w:r>
        <w:rPr>
          <w:rFonts w:cs="Times New Roman"/>
          <w:spacing w:val="40"/>
          <w:w w:val="105"/>
          <w:sz w:val="24"/>
          <w:szCs w:val="24"/>
        </w:rPr>
        <w:t xml:space="preserve"> </w:t>
      </w:r>
      <w:r>
        <w:rPr>
          <w:rFonts w:cs="Times New Roman"/>
          <w:w w:val="105"/>
          <w:sz w:val="24"/>
          <w:szCs w:val="24"/>
        </w:rPr>
        <w:t>adaptate</w:t>
      </w:r>
      <w:r>
        <w:rPr>
          <w:rFonts w:cs="Times New Roman"/>
          <w:spacing w:val="40"/>
          <w:w w:val="105"/>
          <w:sz w:val="24"/>
          <w:szCs w:val="24"/>
        </w:rPr>
        <w:t xml:space="preserve"> </w:t>
      </w:r>
      <w:r>
        <w:rPr>
          <w:rFonts w:cs="Times New Roman"/>
          <w:w w:val="105"/>
          <w:sz w:val="24"/>
          <w:szCs w:val="24"/>
        </w:rPr>
        <w:t>specificului</w:t>
      </w:r>
      <w:r>
        <w:rPr>
          <w:rFonts w:cs="Times New Roman"/>
          <w:spacing w:val="40"/>
          <w:w w:val="105"/>
          <w:sz w:val="24"/>
          <w:szCs w:val="24"/>
        </w:rPr>
        <w:t xml:space="preserve"> </w:t>
      </w:r>
      <w:r>
        <w:rPr>
          <w:rFonts w:cs="Times New Roman"/>
          <w:w w:val="105"/>
          <w:sz w:val="24"/>
          <w:szCs w:val="24"/>
        </w:rPr>
        <w:t>național și</w:t>
      </w:r>
      <w:r>
        <w:rPr>
          <w:rFonts w:cs="Times New Roman"/>
          <w:spacing w:val="34"/>
          <w:w w:val="105"/>
          <w:sz w:val="24"/>
          <w:szCs w:val="24"/>
        </w:rPr>
        <w:t xml:space="preserve"> </w:t>
      </w:r>
      <w:r>
        <w:rPr>
          <w:rFonts w:cs="Times New Roman"/>
          <w:w w:val="105"/>
          <w:sz w:val="24"/>
          <w:szCs w:val="24"/>
        </w:rPr>
        <w:t>orientate</w:t>
      </w:r>
      <w:r>
        <w:rPr>
          <w:rFonts w:cs="Times New Roman"/>
          <w:spacing w:val="34"/>
          <w:w w:val="105"/>
          <w:sz w:val="24"/>
          <w:szCs w:val="24"/>
        </w:rPr>
        <w:t xml:space="preserve"> </w:t>
      </w:r>
      <w:r>
        <w:rPr>
          <w:rFonts w:cs="Times New Roman"/>
          <w:w w:val="105"/>
          <w:sz w:val="24"/>
          <w:szCs w:val="24"/>
        </w:rPr>
        <w:t>spre</w:t>
      </w:r>
      <w:r>
        <w:rPr>
          <w:rFonts w:cs="Times New Roman"/>
          <w:spacing w:val="34"/>
          <w:w w:val="105"/>
          <w:sz w:val="24"/>
          <w:szCs w:val="24"/>
        </w:rPr>
        <w:t xml:space="preserve"> </w:t>
      </w:r>
      <w:r>
        <w:rPr>
          <w:rFonts w:cs="Times New Roman"/>
          <w:w w:val="105"/>
          <w:sz w:val="24"/>
          <w:szCs w:val="24"/>
        </w:rPr>
        <w:t>un</w:t>
      </w:r>
      <w:r>
        <w:rPr>
          <w:rFonts w:cs="Times New Roman"/>
          <w:spacing w:val="34"/>
          <w:w w:val="105"/>
          <w:sz w:val="24"/>
          <w:szCs w:val="24"/>
        </w:rPr>
        <w:t xml:space="preserve"> </w:t>
      </w:r>
      <w:r>
        <w:rPr>
          <w:rFonts w:cs="Times New Roman"/>
          <w:w w:val="105"/>
          <w:sz w:val="24"/>
          <w:szCs w:val="24"/>
        </w:rPr>
        <w:t>răspuns</w:t>
      </w:r>
      <w:r>
        <w:rPr>
          <w:rFonts w:cs="Times New Roman"/>
          <w:spacing w:val="34"/>
          <w:w w:val="105"/>
          <w:sz w:val="24"/>
          <w:szCs w:val="24"/>
        </w:rPr>
        <w:t xml:space="preserve"> </w:t>
      </w:r>
      <w:r>
        <w:rPr>
          <w:rFonts w:cs="Times New Roman"/>
          <w:w w:val="105"/>
          <w:sz w:val="24"/>
          <w:szCs w:val="24"/>
        </w:rPr>
        <w:t>coordonat,</w:t>
      </w:r>
      <w:r>
        <w:rPr>
          <w:rFonts w:cs="Times New Roman"/>
          <w:spacing w:val="34"/>
          <w:w w:val="105"/>
          <w:sz w:val="24"/>
          <w:szCs w:val="24"/>
        </w:rPr>
        <w:t xml:space="preserve"> </w:t>
      </w:r>
      <w:r>
        <w:rPr>
          <w:rFonts w:cs="Times New Roman"/>
          <w:w w:val="105"/>
          <w:sz w:val="24"/>
          <w:szCs w:val="24"/>
        </w:rPr>
        <w:t>integrat</w:t>
      </w:r>
      <w:r>
        <w:rPr>
          <w:rFonts w:cs="Times New Roman"/>
          <w:spacing w:val="34"/>
          <w:w w:val="105"/>
          <w:sz w:val="24"/>
          <w:szCs w:val="24"/>
        </w:rPr>
        <w:t xml:space="preserve"> </w:t>
      </w:r>
      <w:r>
        <w:rPr>
          <w:rFonts w:cs="Times New Roman"/>
          <w:w w:val="105"/>
          <w:sz w:val="24"/>
          <w:szCs w:val="24"/>
        </w:rPr>
        <w:t>și</w:t>
      </w:r>
      <w:r>
        <w:rPr>
          <w:rFonts w:cs="Times New Roman"/>
          <w:spacing w:val="34"/>
          <w:w w:val="105"/>
          <w:sz w:val="24"/>
          <w:szCs w:val="24"/>
        </w:rPr>
        <w:t xml:space="preserve"> </w:t>
      </w:r>
      <w:r>
        <w:rPr>
          <w:rFonts w:cs="Times New Roman"/>
          <w:w w:val="105"/>
          <w:sz w:val="24"/>
          <w:szCs w:val="24"/>
        </w:rPr>
        <w:t>sustenabil</w:t>
      </w:r>
      <w:r>
        <w:rPr>
          <w:rFonts w:cs="Times New Roman"/>
          <w:spacing w:val="34"/>
          <w:w w:val="105"/>
          <w:sz w:val="24"/>
          <w:szCs w:val="24"/>
        </w:rPr>
        <w:t xml:space="preserve"> </w:t>
      </w:r>
      <w:r>
        <w:rPr>
          <w:rFonts w:cs="Times New Roman"/>
          <w:w w:val="105"/>
          <w:sz w:val="24"/>
          <w:szCs w:val="24"/>
        </w:rPr>
        <w:t>la</w:t>
      </w:r>
      <w:r>
        <w:rPr>
          <w:rFonts w:cs="Times New Roman"/>
          <w:spacing w:val="34"/>
          <w:w w:val="105"/>
          <w:sz w:val="24"/>
          <w:szCs w:val="24"/>
        </w:rPr>
        <w:t xml:space="preserve"> </w:t>
      </w:r>
      <w:r>
        <w:rPr>
          <w:rFonts w:cs="Times New Roman"/>
          <w:w w:val="105"/>
          <w:sz w:val="24"/>
          <w:szCs w:val="24"/>
        </w:rPr>
        <w:t>nivel</w:t>
      </w:r>
      <w:r>
        <w:rPr>
          <w:rFonts w:cs="Times New Roman"/>
          <w:spacing w:val="34"/>
          <w:w w:val="105"/>
          <w:sz w:val="24"/>
          <w:szCs w:val="24"/>
        </w:rPr>
        <w:t xml:space="preserve"> </w:t>
      </w:r>
      <w:r>
        <w:rPr>
          <w:rFonts w:cs="Times New Roman"/>
          <w:w w:val="105"/>
          <w:sz w:val="24"/>
          <w:szCs w:val="24"/>
        </w:rPr>
        <w:t>național.</w:t>
      </w:r>
    </w:p>
    <w:p w14:paraId="318EF48B">
      <w:pPr>
        <w:pStyle w:val="15"/>
        <w:numPr>
          <w:ilvl w:val="0"/>
          <w:numId w:val="1"/>
        </w:numPr>
        <w:tabs>
          <w:tab w:val="left" w:pos="567"/>
          <w:tab w:val="left" w:pos="709"/>
          <w:tab w:val="left" w:pos="1161"/>
        </w:tabs>
        <w:spacing w:line="271" w:lineRule="auto"/>
        <w:ind w:left="0" w:right="128" w:firstLine="567"/>
        <w:jc w:val="both"/>
        <w:rPr>
          <w:rFonts w:cs="Times New Roman"/>
          <w:sz w:val="24"/>
        </w:rPr>
      </w:pPr>
      <w:r>
        <w:rPr>
          <w:rFonts w:cs="Times New Roman"/>
          <w:w w:val="105"/>
          <w:sz w:val="24"/>
        </w:rPr>
        <w:t xml:space="preserve">Prezentul Program este elaborat în conformitate cu prevederile cadrului normativ național în domeniul sănătății, inclusiv cu Legea ocrotirii sănătății nr. 411/1995, Legea nr. 10/2009 privind supravegherea de stat a sănătății publice, Legea nr. 153/2008 cu privire la </w:t>
      </w:r>
      <w:r>
        <w:rPr>
          <w:rFonts w:cs="Times New Roman"/>
          <w:spacing w:val="9"/>
          <w:w w:val="105"/>
          <w:sz w:val="24"/>
        </w:rPr>
        <w:t xml:space="preserve">controlul </w:t>
      </w:r>
      <w:r>
        <w:rPr>
          <w:rFonts w:cs="Times New Roman"/>
          <w:w w:val="105"/>
          <w:sz w:val="24"/>
        </w:rPr>
        <w:t xml:space="preserve">și </w:t>
      </w:r>
      <w:r>
        <w:rPr>
          <w:rFonts w:cs="Times New Roman"/>
          <w:spacing w:val="9"/>
          <w:w w:val="105"/>
          <w:sz w:val="24"/>
        </w:rPr>
        <w:t xml:space="preserve">profilaxia </w:t>
      </w:r>
      <w:r>
        <w:rPr>
          <w:rFonts w:cs="Times New Roman"/>
          <w:spacing w:val="10"/>
          <w:w w:val="105"/>
          <w:sz w:val="24"/>
        </w:rPr>
        <w:t xml:space="preserve">tuberculozei, </w:t>
      </w:r>
      <w:r>
        <w:rPr>
          <w:rFonts w:cs="Times New Roman"/>
          <w:w w:val="105"/>
          <w:sz w:val="24"/>
        </w:rPr>
        <w:t xml:space="preserve">Legea nr. </w:t>
      </w:r>
      <w:r>
        <w:rPr>
          <w:rFonts w:cs="Times New Roman"/>
          <w:spacing w:val="9"/>
          <w:w w:val="105"/>
          <w:sz w:val="24"/>
        </w:rPr>
        <w:t xml:space="preserve">263/2005 </w:t>
      </w:r>
      <w:r>
        <w:rPr>
          <w:rFonts w:cs="Times New Roman"/>
          <w:w w:val="105"/>
          <w:sz w:val="24"/>
        </w:rPr>
        <w:t xml:space="preserve">cu </w:t>
      </w:r>
      <w:r>
        <w:rPr>
          <w:rFonts w:cs="Times New Roman"/>
          <w:spacing w:val="9"/>
          <w:w w:val="105"/>
          <w:sz w:val="24"/>
        </w:rPr>
        <w:t xml:space="preserve">privire </w:t>
      </w:r>
      <w:r>
        <w:rPr>
          <w:rFonts w:cs="Times New Roman"/>
          <w:w w:val="105"/>
          <w:sz w:val="24"/>
        </w:rPr>
        <w:t xml:space="preserve">la </w:t>
      </w:r>
      <w:r>
        <w:rPr>
          <w:rFonts w:cs="Times New Roman"/>
          <w:spacing w:val="9"/>
          <w:w w:val="105"/>
          <w:sz w:val="24"/>
        </w:rPr>
        <w:t xml:space="preserve">drepturile </w:t>
      </w:r>
      <w:r>
        <w:rPr>
          <w:rFonts w:cs="Times New Roman"/>
          <w:spacing w:val="11"/>
          <w:w w:val="105"/>
          <w:sz w:val="24"/>
        </w:rPr>
        <w:t xml:space="preserve">și </w:t>
      </w:r>
      <w:r>
        <w:rPr>
          <w:rFonts w:cs="Times New Roman"/>
          <w:w w:val="105"/>
          <w:sz w:val="24"/>
        </w:rPr>
        <w:t xml:space="preserve">responsabilitățile pacientului, precum și în baza Programului național privind asigurarea respectării drepturilor omului pentru anii 2024-2027, aprobat prin Hotărârea Guvernului nr. 164/2024. De asemenea, prezentul Program este aliniat la </w:t>
      </w:r>
      <w:r>
        <w:rPr>
          <w:rFonts w:cs="Times New Roman"/>
          <w:spacing w:val="9"/>
          <w:w w:val="105"/>
          <w:sz w:val="24"/>
        </w:rPr>
        <w:t xml:space="preserve">documentele </w:t>
      </w:r>
      <w:r>
        <w:rPr>
          <w:rFonts w:cs="Times New Roman"/>
          <w:spacing w:val="10"/>
          <w:w w:val="105"/>
          <w:sz w:val="24"/>
        </w:rPr>
        <w:t xml:space="preserve">strategice </w:t>
      </w:r>
      <w:r>
        <w:rPr>
          <w:rFonts w:cs="Times New Roman"/>
          <w:spacing w:val="9"/>
          <w:w w:val="105"/>
          <w:sz w:val="24"/>
        </w:rPr>
        <w:t xml:space="preserve">internaționale, </w:t>
      </w:r>
      <w:r>
        <w:rPr>
          <w:rFonts w:cs="Times New Roman"/>
          <w:w w:val="105"/>
          <w:sz w:val="24"/>
        </w:rPr>
        <w:t>precum</w:t>
      </w:r>
      <w:r>
        <w:rPr>
          <w:rFonts w:cs="Times New Roman"/>
          <w:spacing w:val="40"/>
          <w:w w:val="105"/>
          <w:sz w:val="24"/>
        </w:rPr>
        <w:t xml:space="preserve"> </w:t>
      </w:r>
      <w:r>
        <w:rPr>
          <w:rFonts w:cs="Times New Roman"/>
          <w:w w:val="105"/>
          <w:sz w:val="24"/>
        </w:rPr>
        <w:t>Strategia</w:t>
      </w:r>
      <w:r>
        <w:rPr>
          <w:rFonts w:cs="Times New Roman"/>
          <w:spacing w:val="40"/>
          <w:w w:val="105"/>
          <w:sz w:val="24"/>
        </w:rPr>
        <w:t xml:space="preserve"> </w:t>
      </w:r>
      <w:r>
        <w:rPr>
          <w:rFonts w:cs="Times New Roman"/>
          <w:w w:val="105"/>
          <w:sz w:val="24"/>
        </w:rPr>
        <w:t>„End</w:t>
      </w:r>
      <w:r>
        <w:rPr>
          <w:rFonts w:cs="Times New Roman"/>
          <w:spacing w:val="40"/>
          <w:w w:val="105"/>
          <w:sz w:val="24"/>
        </w:rPr>
        <w:t xml:space="preserve"> </w:t>
      </w:r>
      <w:r>
        <w:rPr>
          <w:rFonts w:cs="Times New Roman"/>
          <w:w w:val="105"/>
          <w:sz w:val="24"/>
        </w:rPr>
        <w:t>TB”</w:t>
      </w:r>
      <w:r>
        <w:rPr>
          <w:rFonts w:cs="Times New Roman"/>
          <w:spacing w:val="40"/>
          <w:w w:val="105"/>
          <w:sz w:val="24"/>
        </w:rPr>
        <w:t>.</w:t>
      </w:r>
    </w:p>
    <w:p w14:paraId="5448588E">
      <w:pPr>
        <w:pStyle w:val="15"/>
        <w:numPr>
          <w:ilvl w:val="0"/>
          <w:numId w:val="1"/>
        </w:numPr>
        <w:tabs>
          <w:tab w:val="left" w:pos="567"/>
          <w:tab w:val="left" w:pos="709"/>
          <w:tab w:val="left" w:pos="1216"/>
        </w:tabs>
        <w:spacing w:line="271" w:lineRule="auto"/>
        <w:ind w:left="0" w:right="127" w:firstLine="567"/>
        <w:jc w:val="both"/>
        <w:rPr>
          <w:rFonts w:cs="Times New Roman"/>
          <w:sz w:val="24"/>
        </w:rPr>
      </w:pPr>
      <w:r>
        <w:rPr>
          <w:rFonts w:cs="Times New Roman"/>
          <w:w w:val="105"/>
          <w:sz w:val="24"/>
        </w:rPr>
        <w:t>Prezentul Program este aliniat la prevederile Programului național pentru supravegherea și combaterea rezistenței la antimicrobiene pe anii 2023-2027, aprobat prin Hotărârea</w:t>
      </w:r>
      <w:r>
        <w:rPr>
          <w:rFonts w:cs="Times New Roman"/>
          <w:spacing w:val="40"/>
          <w:w w:val="105"/>
          <w:sz w:val="24"/>
        </w:rPr>
        <w:t xml:space="preserve"> </w:t>
      </w:r>
      <w:r>
        <w:rPr>
          <w:rFonts w:cs="Times New Roman"/>
          <w:w w:val="105"/>
          <w:sz w:val="24"/>
        </w:rPr>
        <w:t>Guvernului</w:t>
      </w:r>
      <w:r>
        <w:rPr>
          <w:rFonts w:cs="Times New Roman"/>
          <w:spacing w:val="40"/>
          <w:w w:val="105"/>
          <w:sz w:val="24"/>
        </w:rPr>
        <w:t xml:space="preserve"> </w:t>
      </w:r>
      <w:r>
        <w:rPr>
          <w:rFonts w:cs="Times New Roman"/>
          <w:w w:val="105"/>
          <w:sz w:val="24"/>
        </w:rPr>
        <w:t>nr.</w:t>
      </w:r>
      <w:r>
        <w:rPr>
          <w:rFonts w:cs="Times New Roman"/>
          <w:spacing w:val="40"/>
          <w:w w:val="105"/>
          <w:sz w:val="24"/>
        </w:rPr>
        <w:t xml:space="preserve"> </w:t>
      </w:r>
      <w:r>
        <w:rPr>
          <w:rFonts w:cs="Times New Roman"/>
          <w:w w:val="105"/>
          <w:sz w:val="24"/>
        </w:rPr>
        <w:t>697/2023,</w:t>
      </w:r>
      <w:r>
        <w:rPr>
          <w:rFonts w:cs="Times New Roman"/>
          <w:spacing w:val="40"/>
          <w:w w:val="105"/>
          <w:sz w:val="24"/>
        </w:rPr>
        <w:t xml:space="preserve"> </w:t>
      </w:r>
      <w:r>
        <w:rPr>
          <w:rFonts w:cs="Times New Roman"/>
          <w:w w:val="105"/>
          <w:sz w:val="24"/>
        </w:rPr>
        <w:t>contribuind</w:t>
      </w:r>
      <w:r>
        <w:rPr>
          <w:rFonts w:cs="Times New Roman"/>
          <w:spacing w:val="40"/>
          <w:w w:val="105"/>
          <w:sz w:val="24"/>
        </w:rPr>
        <w:t xml:space="preserve"> </w:t>
      </w:r>
      <w:r>
        <w:rPr>
          <w:rFonts w:cs="Times New Roman"/>
          <w:w w:val="105"/>
          <w:sz w:val="24"/>
        </w:rPr>
        <w:t>la</w:t>
      </w:r>
      <w:r>
        <w:rPr>
          <w:rFonts w:cs="Times New Roman"/>
          <w:spacing w:val="40"/>
          <w:w w:val="105"/>
          <w:sz w:val="24"/>
        </w:rPr>
        <w:t xml:space="preserve"> </w:t>
      </w:r>
      <w:r>
        <w:rPr>
          <w:rFonts w:cs="Times New Roman"/>
          <w:w w:val="105"/>
          <w:sz w:val="24"/>
        </w:rPr>
        <w:t>utilizarea</w:t>
      </w:r>
      <w:r>
        <w:rPr>
          <w:rFonts w:cs="Times New Roman"/>
          <w:spacing w:val="40"/>
          <w:w w:val="105"/>
          <w:sz w:val="24"/>
        </w:rPr>
        <w:t xml:space="preserve"> </w:t>
      </w:r>
      <w:r>
        <w:rPr>
          <w:rFonts w:cs="Times New Roman"/>
          <w:w w:val="105"/>
          <w:sz w:val="24"/>
        </w:rPr>
        <w:t>rațională</w:t>
      </w:r>
      <w:r>
        <w:rPr>
          <w:rFonts w:cs="Times New Roman"/>
          <w:spacing w:val="40"/>
          <w:w w:val="105"/>
          <w:sz w:val="24"/>
        </w:rPr>
        <w:t xml:space="preserve"> </w:t>
      </w:r>
      <w:r>
        <w:rPr>
          <w:rFonts w:cs="Times New Roman"/>
          <w:w w:val="105"/>
          <w:sz w:val="24"/>
        </w:rPr>
        <w:t>a</w:t>
      </w:r>
      <w:r>
        <w:rPr>
          <w:rFonts w:cs="Times New Roman"/>
          <w:spacing w:val="40"/>
          <w:w w:val="105"/>
          <w:sz w:val="24"/>
        </w:rPr>
        <w:t xml:space="preserve"> </w:t>
      </w:r>
      <w:r>
        <w:rPr>
          <w:rFonts w:cs="Times New Roman"/>
          <w:w w:val="105"/>
          <w:sz w:val="24"/>
        </w:rPr>
        <w:t xml:space="preserve">antimicrobienelor, la prevenirea și controlul </w:t>
      </w:r>
      <w:r>
        <w:rPr>
          <w:rFonts w:cs="Times New Roman"/>
          <w:spacing w:val="9"/>
          <w:w w:val="105"/>
          <w:sz w:val="24"/>
        </w:rPr>
        <w:t xml:space="preserve">infecțiilor, </w:t>
      </w:r>
      <w:r>
        <w:rPr>
          <w:rFonts w:cs="Times New Roman"/>
          <w:w w:val="105"/>
          <w:sz w:val="24"/>
        </w:rPr>
        <w:t xml:space="preserve">precum și la limitarea </w:t>
      </w:r>
      <w:r>
        <w:rPr>
          <w:rFonts w:cs="Times New Roman"/>
          <w:spacing w:val="9"/>
          <w:w w:val="105"/>
          <w:sz w:val="24"/>
        </w:rPr>
        <w:t xml:space="preserve">răspândirii </w:t>
      </w:r>
      <w:r>
        <w:rPr>
          <w:rFonts w:cs="Times New Roman"/>
          <w:spacing w:val="10"/>
          <w:w w:val="105"/>
          <w:sz w:val="24"/>
        </w:rPr>
        <w:t xml:space="preserve">rezistenței </w:t>
      </w:r>
      <w:r>
        <w:rPr>
          <w:rFonts w:cs="Times New Roman"/>
          <w:w w:val="105"/>
          <w:sz w:val="24"/>
        </w:rPr>
        <w:t>antimicrobiene</w:t>
      </w:r>
      <w:r>
        <w:rPr>
          <w:rFonts w:cs="Times New Roman"/>
          <w:spacing w:val="40"/>
          <w:w w:val="105"/>
          <w:sz w:val="24"/>
        </w:rPr>
        <w:t xml:space="preserve"> </w:t>
      </w:r>
      <w:r>
        <w:rPr>
          <w:rFonts w:cs="Times New Roman"/>
          <w:w w:val="105"/>
          <w:sz w:val="24"/>
        </w:rPr>
        <w:t>în</w:t>
      </w:r>
      <w:r>
        <w:rPr>
          <w:rFonts w:cs="Times New Roman"/>
          <w:spacing w:val="40"/>
          <w:w w:val="105"/>
          <w:sz w:val="24"/>
        </w:rPr>
        <w:t xml:space="preserve"> </w:t>
      </w:r>
      <w:r>
        <w:rPr>
          <w:rFonts w:cs="Times New Roman"/>
          <w:w w:val="105"/>
          <w:sz w:val="24"/>
        </w:rPr>
        <w:t>comunitate</w:t>
      </w:r>
      <w:r>
        <w:rPr>
          <w:rFonts w:cs="Times New Roman"/>
          <w:spacing w:val="40"/>
          <w:w w:val="105"/>
          <w:sz w:val="24"/>
        </w:rPr>
        <w:t xml:space="preserve"> </w:t>
      </w:r>
      <w:r>
        <w:rPr>
          <w:rFonts w:cs="Times New Roman"/>
          <w:w w:val="105"/>
          <w:sz w:val="24"/>
        </w:rPr>
        <w:t>și</w:t>
      </w:r>
      <w:r>
        <w:rPr>
          <w:rFonts w:cs="Times New Roman"/>
          <w:spacing w:val="40"/>
          <w:w w:val="105"/>
          <w:sz w:val="24"/>
        </w:rPr>
        <w:t xml:space="preserve"> </w:t>
      </w:r>
      <w:r>
        <w:rPr>
          <w:rFonts w:cs="Times New Roman"/>
          <w:w w:val="105"/>
          <w:sz w:val="24"/>
        </w:rPr>
        <w:t>în</w:t>
      </w:r>
      <w:r>
        <w:rPr>
          <w:rFonts w:cs="Times New Roman"/>
          <w:spacing w:val="40"/>
          <w:w w:val="105"/>
          <w:sz w:val="24"/>
        </w:rPr>
        <w:t xml:space="preserve"> </w:t>
      </w:r>
      <w:r>
        <w:rPr>
          <w:rFonts w:cs="Times New Roman"/>
          <w:w w:val="105"/>
          <w:sz w:val="24"/>
        </w:rPr>
        <w:t>instituțiile</w:t>
      </w:r>
      <w:r>
        <w:rPr>
          <w:rFonts w:cs="Times New Roman"/>
          <w:spacing w:val="40"/>
          <w:w w:val="105"/>
          <w:sz w:val="24"/>
        </w:rPr>
        <w:t xml:space="preserve"> </w:t>
      </w:r>
      <w:r>
        <w:rPr>
          <w:rFonts w:cs="Times New Roman"/>
          <w:w w:val="105"/>
          <w:sz w:val="24"/>
        </w:rPr>
        <w:t>medico-</w:t>
      </w:r>
      <w:r>
        <w:rPr>
          <w:rFonts w:cs="Times New Roman"/>
          <w:spacing w:val="40"/>
          <w:w w:val="105"/>
          <w:sz w:val="24"/>
        </w:rPr>
        <w:t xml:space="preserve"> </w:t>
      </w:r>
      <w:r>
        <w:rPr>
          <w:rFonts w:cs="Times New Roman"/>
          <w:w w:val="105"/>
          <w:sz w:val="24"/>
        </w:rPr>
        <w:t>sanitare.</w:t>
      </w:r>
    </w:p>
    <w:p w14:paraId="767A142D">
      <w:pPr>
        <w:pStyle w:val="15"/>
        <w:numPr>
          <w:ilvl w:val="0"/>
          <w:numId w:val="1"/>
        </w:numPr>
        <w:tabs>
          <w:tab w:val="left" w:pos="567"/>
          <w:tab w:val="left" w:pos="709"/>
          <w:tab w:val="left" w:pos="1195"/>
        </w:tabs>
        <w:spacing w:line="273" w:lineRule="auto"/>
        <w:ind w:left="0" w:right="131" w:firstLine="567"/>
        <w:jc w:val="both"/>
        <w:rPr>
          <w:rFonts w:cs="Times New Roman"/>
          <w:sz w:val="24"/>
        </w:rPr>
      </w:pPr>
      <w:r>
        <w:rPr>
          <w:rFonts w:cs="Times New Roman"/>
          <w:w w:val="105"/>
          <w:sz w:val="24"/>
        </w:rPr>
        <w:t>La baza prezentului Program stau  pilonii și domeniile-cheie de intervenție ale Strategiei globale „End TB”pentru anii 2015-2030, care ghidează acțiunile pentru eradicarea tuberculozei la nivel internațional:</w:t>
      </w:r>
    </w:p>
    <w:p w14:paraId="728A081B">
      <w:pPr>
        <w:pStyle w:val="15"/>
        <w:numPr>
          <w:ilvl w:val="1"/>
          <w:numId w:val="1"/>
        </w:numPr>
        <w:tabs>
          <w:tab w:val="left" w:pos="567"/>
          <w:tab w:val="left" w:pos="709"/>
          <w:tab w:val="left" w:pos="1330"/>
        </w:tabs>
        <w:ind w:left="0" w:firstLine="567"/>
        <w:jc w:val="both"/>
        <w:rPr>
          <w:rFonts w:cs="Times New Roman"/>
          <w:sz w:val="24"/>
        </w:rPr>
      </w:pPr>
      <w:r>
        <w:rPr>
          <w:rFonts w:cs="Times New Roman"/>
          <w:i/>
          <w:w w:val="110"/>
          <w:sz w:val="24"/>
        </w:rPr>
        <w:t>Pilonul</w:t>
      </w:r>
      <w:r>
        <w:rPr>
          <w:rFonts w:cs="Times New Roman"/>
          <w:i/>
          <w:spacing w:val="8"/>
          <w:w w:val="110"/>
          <w:sz w:val="24"/>
        </w:rPr>
        <w:t xml:space="preserve"> </w:t>
      </w:r>
      <w:r>
        <w:rPr>
          <w:rFonts w:cs="Times New Roman"/>
          <w:i/>
          <w:w w:val="110"/>
          <w:sz w:val="24"/>
        </w:rPr>
        <w:t>1.</w:t>
      </w:r>
      <w:r>
        <w:rPr>
          <w:rFonts w:cs="Times New Roman"/>
          <w:i/>
          <w:spacing w:val="8"/>
          <w:w w:val="110"/>
          <w:sz w:val="24"/>
        </w:rPr>
        <w:t xml:space="preserve"> </w:t>
      </w:r>
      <w:r>
        <w:rPr>
          <w:rFonts w:cs="Times New Roman"/>
          <w:i/>
          <w:w w:val="110"/>
          <w:sz w:val="24"/>
        </w:rPr>
        <w:t>Îngrijire</w:t>
      </w:r>
      <w:r>
        <w:rPr>
          <w:rFonts w:cs="Times New Roman"/>
          <w:i/>
          <w:spacing w:val="9"/>
          <w:w w:val="110"/>
          <w:sz w:val="24"/>
        </w:rPr>
        <w:t xml:space="preserve"> </w:t>
      </w:r>
      <w:r>
        <w:rPr>
          <w:rFonts w:cs="Times New Roman"/>
          <w:i/>
          <w:w w:val="110"/>
          <w:sz w:val="24"/>
        </w:rPr>
        <w:t>și</w:t>
      </w:r>
      <w:r>
        <w:rPr>
          <w:rFonts w:cs="Times New Roman"/>
          <w:i/>
          <w:spacing w:val="8"/>
          <w:w w:val="110"/>
          <w:sz w:val="24"/>
        </w:rPr>
        <w:t xml:space="preserve"> </w:t>
      </w:r>
      <w:r>
        <w:rPr>
          <w:rFonts w:cs="Times New Roman"/>
          <w:i/>
          <w:w w:val="110"/>
          <w:sz w:val="24"/>
        </w:rPr>
        <w:t>prevenire,</w:t>
      </w:r>
      <w:r>
        <w:rPr>
          <w:rFonts w:cs="Times New Roman"/>
          <w:i/>
          <w:spacing w:val="9"/>
          <w:w w:val="110"/>
          <w:sz w:val="24"/>
        </w:rPr>
        <w:t xml:space="preserve"> </w:t>
      </w:r>
      <w:r>
        <w:rPr>
          <w:rFonts w:cs="Times New Roman"/>
          <w:i/>
          <w:w w:val="110"/>
          <w:sz w:val="24"/>
        </w:rPr>
        <w:t>servicii</w:t>
      </w:r>
      <w:r>
        <w:rPr>
          <w:rFonts w:cs="Times New Roman"/>
          <w:i/>
          <w:spacing w:val="8"/>
          <w:w w:val="110"/>
          <w:sz w:val="24"/>
        </w:rPr>
        <w:t xml:space="preserve"> </w:t>
      </w:r>
      <w:r>
        <w:rPr>
          <w:rFonts w:cs="Times New Roman"/>
          <w:i/>
          <w:w w:val="110"/>
          <w:sz w:val="24"/>
        </w:rPr>
        <w:t>integrate,</w:t>
      </w:r>
      <w:r>
        <w:rPr>
          <w:rFonts w:cs="Times New Roman"/>
          <w:i/>
          <w:spacing w:val="8"/>
          <w:w w:val="110"/>
          <w:sz w:val="24"/>
        </w:rPr>
        <w:t xml:space="preserve"> </w:t>
      </w:r>
      <w:r>
        <w:rPr>
          <w:rFonts w:cs="Times New Roman"/>
          <w:i/>
          <w:w w:val="110"/>
          <w:sz w:val="24"/>
        </w:rPr>
        <w:t>centrate</w:t>
      </w:r>
      <w:r>
        <w:rPr>
          <w:rFonts w:cs="Times New Roman"/>
          <w:i/>
          <w:spacing w:val="9"/>
          <w:w w:val="110"/>
          <w:sz w:val="24"/>
        </w:rPr>
        <w:t xml:space="preserve"> </w:t>
      </w:r>
      <w:r>
        <w:rPr>
          <w:rFonts w:cs="Times New Roman"/>
          <w:i/>
          <w:w w:val="110"/>
          <w:sz w:val="24"/>
        </w:rPr>
        <w:t>pe</w:t>
      </w:r>
      <w:r>
        <w:rPr>
          <w:rFonts w:cs="Times New Roman"/>
          <w:i/>
          <w:spacing w:val="8"/>
          <w:w w:val="110"/>
          <w:sz w:val="24"/>
        </w:rPr>
        <w:t xml:space="preserve"> </w:t>
      </w:r>
      <w:r>
        <w:rPr>
          <w:rFonts w:cs="Times New Roman"/>
          <w:i/>
          <w:spacing w:val="-2"/>
          <w:w w:val="110"/>
          <w:sz w:val="24"/>
        </w:rPr>
        <w:t>persoană</w:t>
      </w:r>
      <w:r>
        <w:rPr>
          <w:rFonts w:cs="Times New Roman"/>
          <w:spacing w:val="-2"/>
          <w:w w:val="110"/>
          <w:sz w:val="24"/>
        </w:rPr>
        <w:t>:</w:t>
      </w:r>
    </w:p>
    <w:p w14:paraId="3465F489">
      <w:pPr>
        <w:pStyle w:val="15"/>
        <w:numPr>
          <w:ilvl w:val="2"/>
          <w:numId w:val="1"/>
        </w:numPr>
        <w:tabs>
          <w:tab w:val="left" w:pos="567"/>
          <w:tab w:val="left" w:pos="709"/>
          <w:tab w:val="left" w:pos="1618"/>
        </w:tabs>
        <w:spacing w:line="271" w:lineRule="auto"/>
        <w:ind w:left="0" w:right="133" w:firstLine="567"/>
        <w:jc w:val="both"/>
        <w:rPr>
          <w:rFonts w:cs="Times New Roman"/>
          <w:sz w:val="24"/>
        </w:rPr>
      </w:pPr>
      <w:r>
        <w:rPr>
          <w:rFonts w:cs="Times New Roman"/>
          <w:w w:val="105"/>
          <w:sz w:val="24"/>
        </w:rPr>
        <w:t>centrarea pe persoană și parteneriate intersectoriale – promovarea unei</w:t>
      </w:r>
      <w:r>
        <w:rPr>
          <w:rFonts w:cs="Times New Roman"/>
          <w:spacing w:val="40"/>
          <w:w w:val="105"/>
          <w:sz w:val="24"/>
        </w:rPr>
        <w:t xml:space="preserve"> </w:t>
      </w:r>
      <w:r>
        <w:rPr>
          <w:rFonts w:cs="Times New Roman"/>
          <w:w w:val="105"/>
          <w:sz w:val="24"/>
        </w:rPr>
        <w:t>abordări comune care să includă integrarea serviciilor de tuberculoză în asistența medicală primară,</w:t>
      </w:r>
      <w:r>
        <w:rPr>
          <w:rFonts w:cs="Times New Roman"/>
          <w:spacing w:val="40"/>
          <w:w w:val="105"/>
          <w:sz w:val="24"/>
        </w:rPr>
        <w:t xml:space="preserve"> </w:t>
      </w:r>
      <w:r>
        <w:rPr>
          <w:rFonts w:cs="Times New Roman"/>
          <w:w w:val="105"/>
          <w:sz w:val="24"/>
        </w:rPr>
        <w:t>consolidarea</w:t>
      </w:r>
      <w:r>
        <w:rPr>
          <w:rFonts w:cs="Times New Roman"/>
          <w:spacing w:val="40"/>
          <w:w w:val="105"/>
          <w:sz w:val="24"/>
        </w:rPr>
        <w:t xml:space="preserve"> </w:t>
      </w:r>
      <w:r>
        <w:rPr>
          <w:rFonts w:cs="Times New Roman"/>
          <w:w w:val="105"/>
          <w:sz w:val="24"/>
        </w:rPr>
        <w:t>colaborării</w:t>
      </w:r>
      <w:r>
        <w:rPr>
          <w:rFonts w:cs="Times New Roman"/>
          <w:spacing w:val="40"/>
          <w:w w:val="105"/>
          <w:sz w:val="24"/>
        </w:rPr>
        <w:t xml:space="preserve"> </w:t>
      </w:r>
      <w:r>
        <w:rPr>
          <w:rFonts w:cs="Times New Roman"/>
          <w:w w:val="105"/>
          <w:sz w:val="24"/>
        </w:rPr>
        <w:t>cu</w:t>
      </w:r>
      <w:r>
        <w:rPr>
          <w:rFonts w:cs="Times New Roman"/>
          <w:spacing w:val="40"/>
          <w:w w:val="105"/>
          <w:sz w:val="24"/>
        </w:rPr>
        <w:t xml:space="preserve"> </w:t>
      </w:r>
      <w:r>
        <w:rPr>
          <w:rFonts w:cs="Times New Roman"/>
          <w:w w:val="105"/>
          <w:sz w:val="24"/>
        </w:rPr>
        <w:t>serviciile</w:t>
      </w:r>
      <w:r>
        <w:rPr>
          <w:rFonts w:cs="Times New Roman"/>
          <w:spacing w:val="40"/>
          <w:w w:val="105"/>
          <w:sz w:val="24"/>
        </w:rPr>
        <w:t xml:space="preserve"> </w:t>
      </w:r>
      <w:r>
        <w:rPr>
          <w:rFonts w:cs="Times New Roman"/>
          <w:w w:val="105"/>
          <w:sz w:val="24"/>
        </w:rPr>
        <w:t>de</w:t>
      </w:r>
      <w:r>
        <w:rPr>
          <w:rFonts w:cs="Times New Roman"/>
          <w:spacing w:val="40"/>
          <w:w w:val="105"/>
          <w:sz w:val="24"/>
        </w:rPr>
        <w:t xml:space="preserve"> </w:t>
      </w:r>
      <w:r>
        <w:rPr>
          <w:rFonts w:cs="Times New Roman"/>
          <w:w w:val="105"/>
          <w:sz w:val="24"/>
        </w:rPr>
        <w:t>sănătate</w:t>
      </w:r>
      <w:r>
        <w:rPr>
          <w:rFonts w:cs="Times New Roman"/>
          <w:spacing w:val="40"/>
          <w:w w:val="105"/>
          <w:sz w:val="24"/>
        </w:rPr>
        <w:t xml:space="preserve"> </w:t>
      </w:r>
      <w:r>
        <w:rPr>
          <w:rFonts w:cs="Times New Roman"/>
          <w:w w:val="105"/>
          <w:sz w:val="24"/>
        </w:rPr>
        <w:t>publică,</w:t>
      </w:r>
      <w:r>
        <w:rPr>
          <w:rFonts w:cs="Times New Roman"/>
          <w:spacing w:val="40"/>
          <w:w w:val="105"/>
          <w:sz w:val="24"/>
        </w:rPr>
        <w:t xml:space="preserve"> </w:t>
      </w:r>
      <w:r>
        <w:rPr>
          <w:rFonts w:cs="Times New Roman"/>
          <w:w w:val="105"/>
          <w:sz w:val="24"/>
        </w:rPr>
        <w:t>implicarea</w:t>
      </w:r>
      <w:r>
        <w:rPr>
          <w:rFonts w:cs="Times New Roman"/>
          <w:spacing w:val="40"/>
          <w:w w:val="105"/>
          <w:sz w:val="24"/>
        </w:rPr>
        <w:t xml:space="preserve"> </w:t>
      </w:r>
      <w:r>
        <w:rPr>
          <w:rFonts w:cs="Times New Roman"/>
          <w:w w:val="105"/>
          <w:sz w:val="24"/>
        </w:rPr>
        <w:t>societății civile și participarea activă a comunităților afectate pentru o acțiune coordonată;</w:t>
      </w:r>
    </w:p>
    <w:p w14:paraId="46630802">
      <w:pPr>
        <w:pStyle w:val="15"/>
        <w:numPr>
          <w:ilvl w:val="1"/>
          <w:numId w:val="1"/>
        </w:numPr>
        <w:tabs>
          <w:tab w:val="left" w:pos="567"/>
          <w:tab w:val="left" w:pos="709"/>
          <w:tab w:val="left" w:pos="1611"/>
        </w:tabs>
        <w:spacing w:line="271" w:lineRule="auto"/>
        <w:ind w:left="0" w:right="126" w:firstLine="567"/>
        <w:jc w:val="both"/>
        <w:rPr>
          <w:rFonts w:cs="Times New Roman"/>
          <w:sz w:val="24"/>
        </w:rPr>
      </w:pPr>
      <w:r>
        <w:rPr>
          <w:rFonts w:cs="Times New Roman"/>
          <w:w w:val="105"/>
          <w:sz w:val="24"/>
        </w:rPr>
        <w:t>Prevenirea complexă a tuberculozei – asigurarea unui pachet complet de intervenți care include: managementul programatic al tratamentului preventiv</w:t>
      </w:r>
      <w:r>
        <w:rPr>
          <w:rFonts w:cs="Times New Roman"/>
          <w:spacing w:val="80"/>
          <w:w w:val="150"/>
          <w:sz w:val="24"/>
        </w:rPr>
        <w:t xml:space="preserve"> </w:t>
      </w:r>
      <w:r>
        <w:rPr>
          <w:rFonts w:cs="Times New Roman"/>
          <w:w w:val="105"/>
          <w:sz w:val="24"/>
        </w:rPr>
        <w:t xml:space="preserve">al tuberculozei, măsuri eficiente de prevenire și control al infecțiilor, precum și continuarea </w:t>
      </w:r>
      <w:r>
        <w:rPr>
          <w:rFonts w:cs="Times New Roman"/>
          <w:spacing w:val="11"/>
          <w:w w:val="105"/>
          <w:sz w:val="24"/>
        </w:rPr>
        <w:t xml:space="preserve">vaccinării copiilor </w:t>
      </w:r>
      <w:r>
        <w:rPr>
          <w:rFonts w:cs="Times New Roman"/>
          <w:w w:val="105"/>
          <w:sz w:val="24"/>
        </w:rPr>
        <w:t xml:space="preserve">cu </w:t>
      </w:r>
      <w:r>
        <w:rPr>
          <w:rFonts w:cs="Times New Roman"/>
          <w:spacing w:val="11"/>
          <w:w w:val="105"/>
          <w:sz w:val="24"/>
        </w:rPr>
        <w:t xml:space="preserve">vaccinul </w:t>
      </w:r>
      <w:r>
        <w:rPr>
          <w:rFonts w:cs="Times New Roman"/>
          <w:spacing w:val="10"/>
          <w:w w:val="105"/>
          <w:sz w:val="24"/>
        </w:rPr>
        <w:t xml:space="preserve">Bacil </w:t>
      </w:r>
      <w:r>
        <w:rPr>
          <w:rFonts w:cs="Times New Roman"/>
          <w:spacing w:val="13"/>
          <w:w w:val="105"/>
          <w:sz w:val="24"/>
        </w:rPr>
        <w:t>Calmette-</w:t>
      </w:r>
      <w:r>
        <w:rPr>
          <w:rFonts w:cs="Times New Roman"/>
          <w:spacing w:val="10"/>
          <w:w w:val="105"/>
          <w:sz w:val="24"/>
        </w:rPr>
        <w:t xml:space="preserve">Guérin (BCG), </w:t>
      </w:r>
      <w:r>
        <w:rPr>
          <w:rFonts w:cs="Times New Roman"/>
          <w:w w:val="105"/>
          <w:sz w:val="24"/>
        </w:rPr>
        <w:t xml:space="preserve">în </w:t>
      </w:r>
      <w:r>
        <w:rPr>
          <w:rFonts w:cs="Times New Roman"/>
          <w:spacing w:val="11"/>
          <w:w w:val="105"/>
          <w:sz w:val="24"/>
        </w:rPr>
        <w:t xml:space="preserve">conformitate </w:t>
      </w:r>
      <w:r>
        <w:rPr>
          <w:rFonts w:cs="Times New Roman"/>
          <w:spacing w:val="13"/>
          <w:w w:val="105"/>
          <w:sz w:val="24"/>
        </w:rPr>
        <w:t xml:space="preserve">cu </w:t>
      </w:r>
      <w:r>
        <w:rPr>
          <w:rFonts w:cs="Times New Roman"/>
          <w:w w:val="105"/>
          <w:sz w:val="24"/>
        </w:rPr>
        <w:t>recomandările</w:t>
      </w:r>
      <w:r>
        <w:rPr>
          <w:rFonts w:cs="Times New Roman"/>
          <w:spacing w:val="40"/>
          <w:w w:val="105"/>
          <w:sz w:val="24"/>
        </w:rPr>
        <w:t xml:space="preserve"> </w:t>
      </w:r>
      <w:r>
        <w:rPr>
          <w:rFonts w:cs="Times New Roman"/>
          <w:w w:val="105"/>
          <w:sz w:val="24"/>
        </w:rPr>
        <w:t>naționale;</w:t>
      </w:r>
    </w:p>
    <w:p w14:paraId="6036FF34">
      <w:pPr>
        <w:pStyle w:val="15"/>
        <w:numPr>
          <w:ilvl w:val="2"/>
          <w:numId w:val="1"/>
        </w:numPr>
        <w:tabs>
          <w:tab w:val="left" w:pos="567"/>
          <w:tab w:val="left" w:pos="709"/>
        </w:tabs>
        <w:spacing w:line="271" w:lineRule="auto"/>
        <w:ind w:left="0" w:right="139" w:firstLine="567"/>
        <w:jc w:val="both"/>
        <w:rPr>
          <w:rFonts w:cs="Times New Roman"/>
          <w:sz w:val="24"/>
        </w:rPr>
      </w:pPr>
      <w:r>
        <w:rPr>
          <w:rFonts w:cs="Times New Roman"/>
          <w:w w:val="105"/>
          <w:sz w:val="24"/>
        </w:rPr>
        <w:t>screening sistematic pentru tuberculoză în rândul contacților, al grupurilor cu</w:t>
      </w:r>
      <w:r>
        <w:rPr>
          <w:rFonts w:cs="Times New Roman"/>
          <w:spacing w:val="40"/>
          <w:w w:val="105"/>
          <w:sz w:val="24"/>
        </w:rPr>
        <w:t xml:space="preserve"> </w:t>
      </w:r>
      <w:r>
        <w:rPr>
          <w:rFonts w:cs="Times New Roman"/>
          <w:w w:val="105"/>
          <w:sz w:val="24"/>
        </w:rPr>
        <w:t>risc</w:t>
      </w:r>
      <w:r>
        <w:rPr>
          <w:rFonts w:cs="Times New Roman"/>
          <w:spacing w:val="32"/>
          <w:w w:val="105"/>
          <w:sz w:val="24"/>
        </w:rPr>
        <w:t xml:space="preserve"> </w:t>
      </w:r>
      <w:r>
        <w:rPr>
          <w:rFonts w:cs="Times New Roman"/>
          <w:w w:val="105"/>
          <w:sz w:val="24"/>
        </w:rPr>
        <w:t>crescut</w:t>
      </w:r>
      <w:r>
        <w:rPr>
          <w:rFonts w:cs="Times New Roman"/>
          <w:spacing w:val="32"/>
          <w:w w:val="105"/>
          <w:sz w:val="24"/>
        </w:rPr>
        <w:t xml:space="preserve"> </w:t>
      </w:r>
      <w:r>
        <w:rPr>
          <w:rFonts w:cs="Times New Roman"/>
          <w:w w:val="105"/>
          <w:sz w:val="24"/>
        </w:rPr>
        <w:t>și</w:t>
      </w:r>
      <w:r>
        <w:rPr>
          <w:rFonts w:cs="Times New Roman"/>
          <w:spacing w:val="32"/>
          <w:w w:val="105"/>
          <w:sz w:val="24"/>
        </w:rPr>
        <w:t xml:space="preserve"> </w:t>
      </w:r>
      <w:r>
        <w:rPr>
          <w:rFonts w:cs="Times New Roman"/>
          <w:w w:val="105"/>
          <w:sz w:val="24"/>
        </w:rPr>
        <w:t>al</w:t>
      </w:r>
      <w:r>
        <w:rPr>
          <w:rFonts w:cs="Times New Roman"/>
          <w:spacing w:val="32"/>
          <w:w w:val="105"/>
          <w:sz w:val="24"/>
        </w:rPr>
        <w:t xml:space="preserve"> </w:t>
      </w:r>
      <w:r>
        <w:rPr>
          <w:rFonts w:cs="Times New Roman"/>
          <w:w w:val="105"/>
          <w:sz w:val="24"/>
        </w:rPr>
        <w:t>altor</w:t>
      </w:r>
      <w:r>
        <w:rPr>
          <w:rFonts w:cs="Times New Roman"/>
          <w:spacing w:val="32"/>
          <w:w w:val="105"/>
          <w:sz w:val="24"/>
        </w:rPr>
        <w:t xml:space="preserve"> </w:t>
      </w:r>
      <w:r>
        <w:rPr>
          <w:rFonts w:cs="Times New Roman"/>
          <w:w w:val="105"/>
          <w:sz w:val="24"/>
        </w:rPr>
        <w:t>persoane</w:t>
      </w:r>
      <w:r>
        <w:rPr>
          <w:rFonts w:cs="Times New Roman"/>
          <w:spacing w:val="32"/>
          <w:w w:val="105"/>
          <w:sz w:val="24"/>
        </w:rPr>
        <w:t xml:space="preserve"> </w:t>
      </w:r>
      <w:r>
        <w:rPr>
          <w:rFonts w:cs="Times New Roman"/>
          <w:w w:val="105"/>
          <w:sz w:val="24"/>
        </w:rPr>
        <w:t>vulnerabile</w:t>
      </w:r>
      <w:r>
        <w:rPr>
          <w:rFonts w:cs="Times New Roman"/>
          <w:spacing w:val="32"/>
          <w:w w:val="105"/>
          <w:sz w:val="24"/>
        </w:rPr>
        <w:t xml:space="preserve"> </w:t>
      </w:r>
      <w:r>
        <w:rPr>
          <w:rFonts w:cs="Times New Roman"/>
          <w:w w:val="105"/>
          <w:sz w:val="24"/>
        </w:rPr>
        <w:t>sau</w:t>
      </w:r>
      <w:r>
        <w:rPr>
          <w:rFonts w:cs="Times New Roman"/>
          <w:spacing w:val="32"/>
          <w:w w:val="105"/>
          <w:sz w:val="24"/>
        </w:rPr>
        <w:t xml:space="preserve"> </w:t>
      </w:r>
      <w:r>
        <w:rPr>
          <w:rFonts w:cs="Times New Roman"/>
          <w:w w:val="105"/>
          <w:sz w:val="24"/>
        </w:rPr>
        <w:t>aflate</w:t>
      </w:r>
      <w:r>
        <w:rPr>
          <w:rFonts w:cs="Times New Roman"/>
          <w:spacing w:val="32"/>
          <w:w w:val="105"/>
          <w:sz w:val="24"/>
        </w:rPr>
        <w:t xml:space="preserve"> </w:t>
      </w:r>
      <w:r>
        <w:rPr>
          <w:rFonts w:cs="Times New Roman"/>
          <w:w w:val="105"/>
          <w:sz w:val="24"/>
        </w:rPr>
        <w:t>în</w:t>
      </w:r>
      <w:r>
        <w:rPr>
          <w:rFonts w:cs="Times New Roman"/>
          <w:spacing w:val="32"/>
          <w:w w:val="105"/>
          <w:sz w:val="24"/>
        </w:rPr>
        <w:t xml:space="preserve"> </w:t>
      </w:r>
      <w:r>
        <w:rPr>
          <w:rFonts w:cs="Times New Roman"/>
          <w:w w:val="105"/>
          <w:sz w:val="24"/>
        </w:rPr>
        <w:t>situații</w:t>
      </w:r>
      <w:r>
        <w:rPr>
          <w:rFonts w:cs="Times New Roman"/>
          <w:spacing w:val="32"/>
          <w:w w:val="105"/>
          <w:sz w:val="24"/>
        </w:rPr>
        <w:t xml:space="preserve"> </w:t>
      </w:r>
      <w:r>
        <w:rPr>
          <w:rFonts w:cs="Times New Roman"/>
          <w:w w:val="105"/>
          <w:sz w:val="24"/>
        </w:rPr>
        <w:t>de</w:t>
      </w:r>
      <w:r>
        <w:rPr>
          <w:rFonts w:cs="Times New Roman"/>
          <w:spacing w:val="32"/>
          <w:w w:val="105"/>
          <w:sz w:val="24"/>
        </w:rPr>
        <w:t xml:space="preserve"> </w:t>
      </w:r>
      <w:r>
        <w:rPr>
          <w:rFonts w:cs="Times New Roman"/>
          <w:w w:val="105"/>
          <w:sz w:val="24"/>
        </w:rPr>
        <w:t>vulnerabilitate;</w:t>
      </w:r>
    </w:p>
    <w:p w14:paraId="38E95CDC">
      <w:pPr>
        <w:pStyle w:val="15"/>
        <w:numPr>
          <w:ilvl w:val="2"/>
          <w:numId w:val="1"/>
        </w:numPr>
        <w:tabs>
          <w:tab w:val="left" w:pos="567"/>
          <w:tab w:val="left" w:pos="709"/>
          <w:tab w:val="left" w:pos="1590"/>
        </w:tabs>
        <w:spacing w:line="271" w:lineRule="auto"/>
        <w:ind w:left="0" w:right="136" w:firstLine="567"/>
        <w:jc w:val="both"/>
        <w:rPr>
          <w:rFonts w:cs="Times New Roman"/>
          <w:sz w:val="24"/>
        </w:rPr>
      </w:pPr>
      <w:r>
        <w:rPr>
          <w:rFonts w:cs="Times New Roman"/>
          <w:w w:val="105"/>
          <w:sz w:val="24"/>
        </w:rPr>
        <w:t>diagnostic precoce al tuturor formelor de tuberculoză și acces universal la testarea</w:t>
      </w:r>
      <w:r>
        <w:rPr>
          <w:rFonts w:cs="Times New Roman"/>
          <w:spacing w:val="27"/>
          <w:w w:val="105"/>
          <w:sz w:val="24"/>
        </w:rPr>
        <w:t xml:space="preserve"> </w:t>
      </w:r>
      <w:r>
        <w:rPr>
          <w:rFonts w:cs="Times New Roman"/>
          <w:w w:val="105"/>
          <w:sz w:val="24"/>
        </w:rPr>
        <w:t>sensibilității</w:t>
      </w:r>
      <w:r>
        <w:rPr>
          <w:rFonts w:cs="Times New Roman"/>
          <w:spacing w:val="27"/>
          <w:w w:val="105"/>
          <w:sz w:val="24"/>
        </w:rPr>
        <w:t xml:space="preserve"> </w:t>
      </w:r>
      <w:r>
        <w:rPr>
          <w:rFonts w:cs="Times New Roman"/>
          <w:w w:val="105"/>
          <w:sz w:val="24"/>
        </w:rPr>
        <w:t>la</w:t>
      </w:r>
      <w:r>
        <w:rPr>
          <w:rFonts w:cs="Times New Roman"/>
          <w:spacing w:val="27"/>
          <w:w w:val="105"/>
          <w:sz w:val="24"/>
        </w:rPr>
        <w:t xml:space="preserve"> </w:t>
      </w:r>
      <w:r>
        <w:rPr>
          <w:rFonts w:cs="Times New Roman"/>
          <w:w w:val="105"/>
          <w:sz w:val="24"/>
        </w:rPr>
        <w:t>medicamente,</w:t>
      </w:r>
      <w:r>
        <w:rPr>
          <w:rFonts w:cs="Times New Roman"/>
          <w:spacing w:val="27"/>
          <w:w w:val="105"/>
          <w:sz w:val="24"/>
        </w:rPr>
        <w:t xml:space="preserve"> </w:t>
      </w:r>
      <w:r>
        <w:rPr>
          <w:rFonts w:cs="Times New Roman"/>
          <w:w w:val="105"/>
          <w:sz w:val="24"/>
        </w:rPr>
        <w:t>inclusiv</w:t>
      </w:r>
      <w:r>
        <w:rPr>
          <w:rFonts w:cs="Times New Roman"/>
          <w:spacing w:val="27"/>
          <w:w w:val="105"/>
          <w:sz w:val="24"/>
        </w:rPr>
        <w:t xml:space="preserve"> </w:t>
      </w:r>
      <w:r>
        <w:rPr>
          <w:rFonts w:cs="Times New Roman"/>
          <w:w w:val="105"/>
          <w:sz w:val="24"/>
        </w:rPr>
        <w:t>prin</w:t>
      </w:r>
      <w:r>
        <w:rPr>
          <w:rFonts w:cs="Times New Roman"/>
          <w:spacing w:val="27"/>
          <w:w w:val="105"/>
          <w:sz w:val="24"/>
        </w:rPr>
        <w:t xml:space="preserve"> </w:t>
      </w:r>
      <w:r>
        <w:rPr>
          <w:rFonts w:cs="Times New Roman"/>
          <w:w w:val="105"/>
          <w:sz w:val="24"/>
        </w:rPr>
        <w:t>utilizarea</w:t>
      </w:r>
      <w:r>
        <w:rPr>
          <w:rFonts w:cs="Times New Roman"/>
          <w:spacing w:val="27"/>
          <w:w w:val="105"/>
          <w:sz w:val="24"/>
        </w:rPr>
        <w:t xml:space="preserve"> </w:t>
      </w:r>
      <w:r>
        <w:rPr>
          <w:rFonts w:cs="Times New Roman"/>
          <w:w w:val="105"/>
          <w:sz w:val="24"/>
        </w:rPr>
        <w:t>metodelor</w:t>
      </w:r>
      <w:r>
        <w:rPr>
          <w:rFonts w:cs="Times New Roman"/>
          <w:spacing w:val="27"/>
          <w:w w:val="105"/>
          <w:sz w:val="24"/>
        </w:rPr>
        <w:t xml:space="preserve"> </w:t>
      </w:r>
      <w:r>
        <w:rPr>
          <w:rFonts w:cs="Times New Roman"/>
          <w:w w:val="105"/>
          <w:sz w:val="24"/>
        </w:rPr>
        <w:t>de</w:t>
      </w:r>
      <w:r>
        <w:rPr>
          <w:rFonts w:cs="Times New Roman"/>
          <w:spacing w:val="27"/>
          <w:w w:val="105"/>
          <w:sz w:val="24"/>
        </w:rPr>
        <w:t xml:space="preserve"> </w:t>
      </w:r>
      <w:r>
        <w:rPr>
          <w:rFonts w:cs="Times New Roman"/>
          <w:w w:val="105"/>
          <w:sz w:val="24"/>
        </w:rPr>
        <w:t>diagnostic</w:t>
      </w:r>
      <w:r>
        <w:rPr>
          <w:rFonts w:cs="Times New Roman"/>
          <w:spacing w:val="27"/>
          <w:w w:val="105"/>
          <w:sz w:val="24"/>
        </w:rPr>
        <w:t xml:space="preserve"> </w:t>
      </w:r>
      <w:r>
        <w:rPr>
          <w:rFonts w:cs="Times New Roman"/>
          <w:w w:val="105"/>
          <w:sz w:val="24"/>
        </w:rPr>
        <w:t>rapid;</w:t>
      </w:r>
    </w:p>
    <w:p w14:paraId="6B9C3E22">
      <w:pPr>
        <w:pStyle w:val="15"/>
        <w:numPr>
          <w:ilvl w:val="2"/>
          <w:numId w:val="1"/>
        </w:numPr>
        <w:tabs>
          <w:tab w:val="left" w:pos="567"/>
          <w:tab w:val="left" w:pos="709"/>
        </w:tabs>
        <w:spacing w:line="271" w:lineRule="auto"/>
        <w:ind w:left="0" w:right="137" w:firstLine="567"/>
        <w:jc w:val="both"/>
        <w:rPr>
          <w:rFonts w:cs="Times New Roman"/>
          <w:sz w:val="24"/>
        </w:rPr>
      </w:pPr>
      <w:r>
        <w:rPr>
          <w:rFonts w:cs="Times New Roman"/>
          <w:w w:val="105"/>
          <w:sz w:val="24"/>
        </w:rPr>
        <w:t>asigurarea accesului echitabil la tratament și îngrijire de calitate pentru toate persoanele afectate de tuberculoză, inclusiv cele cu forme rezistente la medicamente și comorbidități asociate, prin integrarea serviciilor , oferirea suportului social și psihologic necesar pentru susținerea aderenței la tratament;</w:t>
      </w:r>
    </w:p>
    <w:p w14:paraId="37F71382">
      <w:pPr>
        <w:tabs>
          <w:tab w:val="left" w:pos="567"/>
          <w:tab w:val="left" w:pos="709"/>
          <w:tab w:val="left" w:pos="1330"/>
        </w:tabs>
        <w:jc w:val="both"/>
        <w:rPr>
          <w:rFonts w:cs="Times New Roman"/>
          <w:i/>
          <w:sz w:val="24"/>
        </w:rPr>
      </w:pPr>
      <w:r>
        <w:rPr>
          <w:rFonts w:cs="Times New Roman"/>
          <w:i/>
          <w:w w:val="110"/>
          <w:sz w:val="24"/>
        </w:rPr>
        <w:t>Pilonul</w:t>
      </w:r>
      <w:r>
        <w:rPr>
          <w:rFonts w:cs="Times New Roman"/>
          <w:i/>
          <w:spacing w:val="4"/>
          <w:w w:val="110"/>
          <w:sz w:val="24"/>
        </w:rPr>
        <w:t xml:space="preserve"> </w:t>
      </w:r>
      <w:r>
        <w:rPr>
          <w:rFonts w:cs="Times New Roman"/>
          <w:i/>
          <w:w w:val="110"/>
          <w:sz w:val="24"/>
        </w:rPr>
        <w:t>2.</w:t>
      </w:r>
      <w:r>
        <w:rPr>
          <w:rFonts w:cs="Times New Roman"/>
          <w:i/>
          <w:spacing w:val="5"/>
          <w:w w:val="110"/>
          <w:sz w:val="24"/>
        </w:rPr>
        <w:t xml:space="preserve"> </w:t>
      </w:r>
      <w:r>
        <w:rPr>
          <w:rFonts w:cs="Times New Roman"/>
          <w:i/>
          <w:w w:val="110"/>
          <w:sz w:val="24"/>
        </w:rPr>
        <w:t>Politici</w:t>
      </w:r>
      <w:r>
        <w:rPr>
          <w:rFonts w:cs="Times New Roman"/>
          <w:i/>
          <w:spacing w:val="5"/>
          <w:w w:val="110"/>
          <w:sz w:val="24"/>
        </w:rPr>
        <w:t xml:space="preserve"> </w:t>
      </w:r>
      <w:r>
        <w:rPr>
          <w:rFonts w:cs="Times New Roman"/>
          <w:i/>
          <w:w w:val="110"/>
          <w:sz w:val="24"/>
        </w:rPr>
        <w:t>îndrăznețe</w:t>
      </w:r>
      <w:r>
        <w:rPr>
          <w:rFonts w:cs="Times New Roman"/>
          <w:i/>
          <w:spacing w:val="5"/>
          <w:w w:val="110"/>
          <w:sz w:val="24"/>
        </w:rPr>
        <w:t xml:space="preserve"> </w:t>
      </w:r>
      <w:r>
        <w:rPr>
          <w:rFonts w:cs="Times New Roman"/>
          <w:i/>
          <w:w w:val="110"/>
          <w:sz w:val="24"/>
        </w:rPr>
        <w:t>și</w:t>
      </w:r>
      <w:r>
        <w:rPr>
          <w:rFonts w:cs="Times New Roman"/>
          <w:i/>
          <w:spacing w:val="4"/>
          <w:w w:val="110"/>
          <w:sz w:val="24"/>
        </w:rPr>
        <w:t xml:space="preserve"> </w:t>
      </w:r>
      <w:r>
        <w:rPr>
          <w:rFonts w:cs="Times New Roman"/>
          <w:i/>
          <w:w w:val="110"/>
          <w:sz w:val="24"/>
        </w:rPr>
        <w:t>sisteme</w:t>
      </w:r>
      <w:r>
        <w:rPr>
          <w:rFonts w:cs="Times New Roman"/>
          <w:i/>
          <w:spacing w:val="5"/>
          <w:w w:val="110"/>
          <w:sz w:val="24"/>
        </w:rPr>
        <w:t xml:space="preserve"> </w:t>
      </w:r>
      <w:r>
        <w:rPr>
          <w:rFonts w:cs="Times New Roman"/>
          <w:i/>
          <w:w w:val="110"/>
          <w:sz w:val="24"/>
        </w:rPr>
        <w:t>de</w:t>
      </w:r>
      <w:r>
        <w:rPr>
          <w:rFonts w:cs="Times New Roman"/>
          <w:i/>
          <w:spacing w:val="5"/>
          <w:w w:val="110"/>
          <w:sz w:val="24"/>
        </w:rPr>
        <w:t xml:space="preserve"> </w:t>
      </w:r>
      <w:r>
        <w:rPr>
          <w:rFonts w:cs="Times New Roman"/>
          <w:i/>
          <w:spacing w:val="-2"/>
          <w:w w:val="110"/>
          <w:sz w:val="24"/>
        </w:rPr>
        <w:t>suport:</w:t>
      </w:r>
    </w:p>
    <w:p w14:paraId="4906CEA2">
      <w:pPr>
        <w:pStyle w:val="15"/>
        <w:numPr>
          <w:ilvl w:val="2"/>
          <w:numId w:val="1"/>
        </w:numPr>
        <w:tabs>
          <w:tab w:val="left" w:pos="567"/>
          <w:tab w:val="left" w:pos="709"/>
        </w:tabs>
        <w:ind w:left="0" w:firstLine="567"/>
        <w:jc w:val="both"/>
        <w:rPr>
          <w:rFonts w:cs="Times New Roman"/>
          <w:sz w:val="24"/>
        </w:rPr>
      </w:pPr>
      <w:r>
        <w:rPr>
          <w:rFonts w:cs="Times New Roman"/>
          <w:w w:val="105"/>
          <w:sz w:val="24"/>
        </w:rPr>
        <w:t>finanțare</w:t>
      </w:r>
      <w:r>
        <w:rPr>
          <w:rFonts w:cs="Times New Roman"/>
          <w:spacing w:val="13"/>
          <w:w w:val="105"/>
          <w:sz w:val="24"/>
        </w:rPr>
        <w:t xml:space="preserve"> </w:t>
      </w:r>
      <w:r>
        <w:rPr>
          <w:rFonts w:cs="Times New Roman"/>
          <w:w w:val="105"/>
          <w:sz w:val="24"/>
        </w:rPr>
        <w:t>durabilă</w:t>
      </w:r>
      <w:r>
        <w:rPr>
          <w:rFonts w:cs="Times New Roman"/>
          <w:spacing w:val="13"/>
          <w:w w:val="105"/>
          <w:sz w:val="24"/>
        </w:rPr>
        <w:t xml:space="preserve"> </w:t>
      </w:r>
      <w:r>
        <w:rPr>
          <w:rFonts w:cs="Times New Roman"/>
          <w:w w:val="105"/>
          <w:sz w:val="24"/>
        </w:rPr>
        <w:t>și</w:t>
      </w:r>
      <w:r>
        <w:rPr>
          <w:rFonts w:cs="Times New Roman"/>
          <w:spacing w:val="13"/>
          <w:w w:val="105"/>
          <w:sz w:val="24"/>
        </w:rPr>
        <w:t xml:space="preserve"> </w:t>
      </w:r>
      <w:r>
        <w:rPr>
          <w:rFonts w:cs="Times New Roman"/>
          <w:w w:val="105"/>
          <w:sz w:val="24"/>
        </w:rPr>
        <w:t>acoperire</w:t>
      </w:r>
      <w:r>
        <w:rPr>
          <w:rFonts w:cs="Times New Roman"/>
          <w:spacing w:val="13"/>
          <w:w w:val="105"/>
          <w:sz w:val="24"/>
        </w:rPr>
        <w:t xml:space="preserve"> </w:t>
      </w:r>
      <w:r>
        <w:rPr>
          <w:rFonts w:cs="Times New Roman"/>
          <w:w w:val="105"/>
          <w:sz w:val="24"/>
        </w:rPr>
        <w:t>universală</w:t>
      </w:r>
      <w:r>
        <w:rPr>
          <w:rFonts w:cs="Times New Roman"/>
          <w:spacing w:val="13"/>
          <w:w w:val="105"/>
          <w:sz w:val="24"/>
        </w:rPr>
        <w:t xml:space="preserve"> </w:t>
      </w:r>
      <w:r>
        <w:rPr>
          <w:rFonts w:cs="Times New Roman"/>
          <w:w w:val="105"/>
          <w:sz w:val="24"/>
        </w:rPr>
        <w:t>cu</w:t>
      </w:r>
      <w:r>
        <w:rPr>
          <w:rFonts w:cs="Times New Roman"/>
          <w:spacing w:val="13"/>
          <w:w w:val="105"/>
          <w:sz w:val="24"/>
        </w:rPr>
        <w:t xml:space="preserve"> </w:t>
      </w:r>
      <w:r>
        <w:rPr>
          <w:rFonts w:cs="Times New Roman"/>
          <w:w w:val="105"/>
          <w:sz w:val="24"/>
        </w:rPr>
        <w:t>servicii</w:t>
      </w:r>
      <w:r>
        <w:rPr>
          <w:rFonts w:cs="Times New Roman"/>
          <w:spacing w:val="13"/>
          <w:w w:val="105"/>
          <w:sz w:val="24"/>
        </w:rPr>
        <w:t xml:space="preserve"> </w:t>
      </w:r>
      <w:r>
        <w:rPr>
          <w:rFonts w:cs="Times New Roman"/>
          <w:w w:val="105"/>
          <w:sz w:val="24"/>
        </w:rPr>
        <w:t>de</w:t>
      </w:r>
      <w:r>
        <w:rPr>
          <w:rFonts w:cs="Times New Roman"/>
          <w:spacing w:val="13"/>
          <w:w w:val="105"/>
          <w:sz w:val="24"/>
        </w:rPr>
        <w:t xml:space="preserve"> </w:t>
      </w:r>
      <w:r>
        <w:rPr>
          <w:rFonts w:cs="Times New Roman"/>
          <w:spacing w:val="-2"/>
          <w:w w:val="105"/>
          <w:sz w:val="24"/>
        </w:rPr>
        <w:t>sănătate;</w:t>
      </w:r>
    </w:p>
    <w:p w14:paraId="2531F545">
      <w:pPr>
        <w:pStyle w:val="15"/>
        <w:numPr>
          <w:ilvl w:val="2"/>
          <w:numId w:val="1"/>
        </w:numPr>
        <w:tabs>
          <w:tab w:val="left" w:pos="567"/>
          <w:tab w:val="left" w:pos="709"/>
          <w:tab w:val="left" w:pos="1618"/>
        </w:tabs>
        <w:ind w:left="0" w:firstLine="567"/>
        <w:jc w:val="both"/>
        <w:rPr>
          <w:rFonts w:cs="Times New Roman"/>
          <w:sz w:val="24"/>
        </w:rPr>
      </w:pPr>
      <w:r>
        <w:rPr>
          <w:rFonts w:cs="Times New Roman"/>
          <w:w w:val="105"/>
          <w:sz w:val="24"/>
        </w:rPr>
        <w:t>resurse</w:t>
      </w:r>
      <w:r>
        <w:rPr>
          <w:rFonts w:cs="Times New Roman"/>
          <w:spacing w:val="73"/>
          <w:w w:val="150"/>
          <w:sz w:val="24"/>
        </w:rPr>
        <w:t xml:space="preserve"> </w:t>
      </w:r>
      <w:r>
        <w:rPr>
          <w:rFonts w:cs="Times New Roman"/>
          <w:w w:val="105"/>
          <w:sz w:val="24"/>
        </w:rPr>
        <w:t>umane</w:t>
      </w:r>
      <w:r>
        <w:rPr>
          <w:rFonts w:cs="Times New Roman"/>
          <w:spacing w:val="73"/>
          <w:w w:val="150"/>
          <w:sz w:val="24"/>
        </w:rPr>
        <w:t xml:space="preserve"> </w:t>
      </w:r>
      <w:r>
        <w:rPr>
          <w:rFonts w:cs="Times New Roman"/>
          <w:w w:val="105"/>
          <w:sz w:val="24"/>
        </w:rPr>
        <w:t>calificate</w:t>
      </w:r>
      <w:r>
        <w:rPr>
          <w:rFonts w:cs="Times New Roman"/>
          <w:spacing w:val="73"/>
          <w:w w:val="150"/>
          <w:sz w:val="24"/>
        </w:rPr>
        <w:t xml:space="preserve"> </w:t>
      </w:r>
      <w:r>
        <w:rPr>
          <w:rFonts w:cs="Times New Roman"/>
          <w:w w:val="105"/>
          <w:sz w:val="24"/>
        </w:rPr>
        <w:t>–</w:t>
      </w:r>
      <w:r>
        <w:rPr>
          <w:rFonts w:cs="Times New Roman"/>
          <w:spacing w:val="74"/>
          <w:w w:val="150"/>
          <w:sz w:val="24"/>
        </w:rPr>
        <w:t xml:space="preserve"> </w:t>
      </w:r>
      <w:r>
        <w:rPr>
          <w:rFonts w:cs="Times New Roman"/>
          <w:w w:val="105"/>
          <w:sz w:val="24"/>
        </w:rPr>
        <w:t>dezvoltarea</w:t>
      </w:r>
      <w:r>
        <w:rPr>
          <w:rFonts w:cs="Times New Roman"/>
          <w:spacing w:val="73"/>
          <w:w w:val="150"/>
          <w:sz w:val="24"/>
        </w:rPr>
        <w:t xml:space="preserve"> </w:t>
      </w:r>
      <w:r>
        <w:rPr>
          <w:rFonts w:cs="Times New Roman"/>
          <w:w w:val="105"/>
          <w:sz w:val="24"/>
        </w:rPr>
        <w:t>și</w:t>
      </w:r>
      <w:r>
        <w:rPr>
          <w:rFonts w:cs="Times New Roman"/>
          <w:spacing w:val="73"/>
          <w:w w:val="150"/>
          <w:sz w:val="24"/>
        </w:rPr>
        <w:t xml:space="preserve"> </w:t>
      </w:r>
      <w:r>
        <w:rPr>
          <w:rFonts w:cs="Times New Roman"/>
          <w:w w:val="105"/>
          <w:sz w:val="24"/>
        </w:rPr>
        <w:t>susținerea</w:t>
      </w:r>
      <w:r>
        <w:rPr>
          <w:rFonts w:cs="Times New Roman"/>
          <w:spacing w:val="74"/>
          <w:w w:val="150"/>
          <w:sz w:val="24"/>
        </w:rPr>
        <w:t xml:space="preserve"> </w:t>
      </w:r>
      <w:r>
        <w:rPr>
          <w:rFonts w:cs="Times New Roman"/>
          <w:w w:val="105"/>
          <w:sz w:val="24"/>
        </w:rPr>
        <w:t>forței</w:t>
      </w:r>
      <w:r>
        <w:rPr>
          <w:rFonts w:cs="Times New Roman"/>
          <w:spacing w:val="73"/>
          <w:w w:val="150"/>
          <w:sz w:val="24"/>
        </w:rPr>
        <w:t xml:space="preserve"> </w:t>
      </w:r>
      <w:r>
        <w:rPr>
          <w:rFonts w:cs="Times New Roman"/>
          <w:w w:val="105"/>
          <w:sz w:val="24"/>
        </w:rPr>
        <w:t>de</w:t>
      </w:r>
      <w:r>
        <w:rPr>
          <w:rFonts w:cs="Times New Roman"/>
          <w:spacing w:val="73"/>
          <w:w w:val="150"/>
          <w:sz w:val="24"/>
        </w:rPr>
        <w:t xml:space="preserve"> </w:t>
      </w:r>
      <w:r>
        <w:rPr>
          <w:rFonts w:cs="Times New Roman"/>
          <w:w w:val="105"/>
          <w:sz w:val="24"/>
        </w:rPr>
        <w:t>muncă</w:t>
      </w:r>
      <w:r>
        <w:rPr>
          <w:rFonts w:cs="Times New Roman"/>
          <w:spacing w:val="73"/>
          <w:w w:val="150"/>
          <w:sz w:val="24"/>
        </w:rPr>
        <w:t xml:space="preserve"> </w:t>
      </w:r>
      <w:r>
        <w:rPr>
          <w:rFonts w:cs="Times New Roman"/>
          <w:spacing w:val="-5"/>
          <w:w w:val="105"/>
          <w:sz w:val="24"/>
        </w:rPr>
        <w:t>din</w:t>
      </w:r>
    </w:p>
    <w:p w14:paraId="089B186F">
      <w:pPr>
        <w:pStyle w:val="10"/>
        <w:tabs>
          <w:tab w:val="left" w:pos="567"/>
          <w:tab w:val="left" w:pos="709"/>
        </w:tabs>
        <w:spacing w:line="271" w:lineRule="auto"/>
        <w:jc w:val="both"/>
        <w:rPr>
          <w:rFonts w:cs="Times New Roman"/>
        </w:rPr>
      </w:pPr>
      <w:r>
        <w:rPr>
          <w:rFonts w:cs="Times New Roman"/>
          <w:w w:val="105"/>
          <w:sz w:val="22"/>
        </w:rPr>
        <w:t>domeniul</w:t>
      </w:r>
      <w:r>
        <w:rPr>
          <w:rFonts w:cs="Times New Roman"/>
          <w:spacing w:val="40"/>
          <w:w w:val="105"/>
          <w:sz w:val="22"/>
        </w:rPr>
        <w:t xml:space="preserve"> </w:t>
      </w:r>
      <w:r>
        <w:rPr>
          <w:rFonts w:cs="Times New Roman"/>
          <w:w w:val="105"/>
          <w:sz w:val="22"/>
        </w:rPr>
        <w:t>sănătății,</w:t>
      </w:r>
      <w:r>
        <w:rPr>
          <w:rFonts w:cs="Times New Roman"/>
          <w:spacing w:val="40"/>
          <w:w w:val="105"/>
          <w:sz w:val="22"/>
        </w:rPr>
        <w:t xml:space="preserve"> </w:t>
      </w:r>
      <w:r>
        <w:rPr>
          <w:rFonts w:cs="Times New Roman"/>
          <w:w w:val="105"/>
          <w:sz w:val="22"/>
        </w:rPr>
        <w:t>inclusiv</w:t>
      </w:r>
      <w:r>
        <w:rPr>
          <w:rFonts w:cs="Times New Roman"/>
          <w:spacing w:val="40"/>
          <w:w w:val="105"/>
          <w:sz w:val="22"/>
        </w:rPr>
        <w:t xml:space="preserve"> </w:t>
      </w:r>
      <w:r>
        <w:rPr>
          <w:rFonts w:cs="Times New Roman"/>
          <w:w w:val="105"/>
          <w:sz w:val="22"/>
        </w:rPr>
        <w:t>a</w:t>
      </w:r>
      <w:r>
        <w:rPr>
          <w:rFonts w:cs="Times New Roman"/>
          <w:spacing w:val="40"/>
          <w:w w:val="105"/>
          <w:sz w:val="22"/>
        </w:rPr>
        <w:t xml:space="preserve"> </w:t>
      </w:r>
      <w:r>
        <w:rPr>
          <w:rFonts w:cs="Times New Roman"/>
          <w:w w:val="105"/>
          <w:sz w:val="22"/>
        </w:rPr>
        <w:t>lucrătorilor</w:t>
      </w:r>
      <w:r>
        <w:rPr>
          <w:rFonts w:cs="Times New Roman"/>
          <w:spacing w:val="40"/>
          <w:w w:val="105"/>
          <w:sz w:val="22"/>
        </w:rPr>
        <w:t xml:space="preserve"> </w:t>
      </w:r>
      <w:r>
        <w:rPr>
          <w:rFonts w:cs="Times New Roman"/>
          <w:w w:val="105"/>
          <w:sz w:val="22"/>
        </w:rPr>
        <w:t>comunitari,</w:t>
      </w:r>
      <w:r>
        <w:rPr>
          <w:rFonts w:cs="Times New Roman"/>
          <w:spacing w:val="40"/>
          <w:w w:val="105"/>
          <w:sz w:val="22"/>
        </w:rPr>
        <w:t xml:space="preserve"> </w:t>
      </w:r>
      <w:r>
        <w:rPr>
          <w:rFonts w:cs="Times New Roman"/>
          <w:w w:val="105"/>
          <w:sz w:val="22"/>
        </w:rPr>
        <w:t>prin</w:t>
      </w:r>
      <w:r>
        <w:rPr>
          <w:rFonts w:cs="Times New Roman"/>
          <w:spacing w:val="40"/>
          <w:w w:val="105"/>
          <w:sz w:val="22"/>
        </w:rPr>
        <w:t xml:space="preserve"> </w:t>
      </w:r>
      <w:r>
        <w:rPr>
          <w:rFonts w:cs="Times New Roman"/>
          <w:w w:val="105"/>
          <w:sz w:val="22"/>
        </w:rPr>
        <w:t>instruire</w:t>
      </w:r>
      <w:r>
        <w:rPr>
          <w:rFonts w:cs="Times New Roman"/>
          <w:spacing w:val="40"/>
          <w:w w:val="105"/>
          <w:sz w:val="22"/>
        </w:rPr>
        <w:t xml:space="preserve"> </w:t>
      </w:r>
      <w:r>
        <w:rPr>
          <w:rFonts w:cs="Times New Roman"/>
          <w:w w:val="105"/>
          <w:sz w:val="22"/>
        </w:rPr>
        <w:t>continuă,</w:t>
      </w:r>
      <w:r>
        <w:rPr>
          <w:rFonts w:cs="Times New Roman"/>
          <w:spacing w:val="40"/>
          <w:w w:val="105"/>
          <w:sz w:val="22"/>
        </w:rPr>
        <w:t xml:space="preserve"> </w:t>
      </w:r>
      <w:r>
        <w:rPr>
          <w:rFonts w:cs="Times New Roman"/>
          <w:w w:val="105"/>
          <w:sz w:val="22"/>
        </w:rPr>
        <w:t>motivare</w:t>
      </w:r>
      <w:r>
        <w:rPr>
          <w:rFonts w:cs="Times New Roman"/>
          <w:spacing w:val="40"/>
          <w:w w:val="105"/>
          <w:sz w:val="22"/>
        </w:rPr>
        <w:t xml:space="preserve"> </w:t>
      </w:r>
      <w:r>
        <w:rPr>
          <w:rFonts w:cs="Times New Roman"/>
          <w:w w:val="105"/>
          <w:sz w:val="22"/>
        </w:rPr>
        <w:t>și</w:t>
      </w:r>
      <w:r>
        <w:rPr>
          <w:rFonts w:cs="Times New Roman"/>
          <w:spacing w:val="40"/>
          <w:w w:val="105"/>
          <w:sz w:val="22"/>
        </w:rPr>
        <w:t xml:space="preserve"> </w:t>
      </w:r>
      <w:r>
        <w:rPr>
          <w:rFonts w:cs="Times New Roman"/>
          <w:w w:val="105"/>
          <w:sz w:val="22"/>
        </w:rPr>
        <w:t>supervizare eficientă;</w:t>
      </w:r>
    </w:p>
    <w:p w14:paraId="41050EED">
      <w:pPr>
        <w:pStyle w:val="15"/>
        <w:numPr>
          <w:ilvl w:val="2"/>
          <w:numId w:val="1"/>
        </w:numPr>
        <w:tabs>
          <w:tab w:val="left" w:pos="567"/>
          <w:tab w:val="left" w:pos="709"/>
        </w:tabs>
        <w:spacing w:line="271" w:lineRule="auto"/>
        <w:ind w:left="0" w:right="139" w:firstLine="567"/>
        <w:jc w:val="both"/>
        <w:rPr>
          <w:rFonts w:cs="Times New Roman"/>
          <w:sz w:val="24"/>
        </w:rPr>
      </w:pPr>
      <w:r>
        <w:rPr>
          <w:rFonts w:cs="Times New Roman"/>
          <w:w w:val="105"/>
          <w:sz w:val="24"/>
        </w:rPr>
        <w:t>informații</w:t>
      </w:r>
      <w:r>
        <w:rPr>
          <w:rFonts w:cs="Times New Roman"/>
          <w:spacing w:val="40"/>
          <w:w w:val="105"/>
          <w:sz w:val="24"/>
        </w:rPr>
        <w:t xml:space="preserve"> </w:t>
      </w:r>
      <w:r>
        <w:rPr>
          <w:rFonts w:cs="Times New Roman"/>
          <w:w w:val="105"/>
          <w:sz w:val="24"/>
        </w:rPr>
        <w:t>strategice</w:t>
      </w:r>
      <w:r>
        <w:rPr>
          <w:rFonts w:cs="Times New Roman"/>
          <w:spacing w:val="40"/>
          <w:w w:val="105"/>
          <w:sz w:val="24"/>
        </w:rPr>
        <w:t xml:space="preserve"> </w:t>
      </w:r>
      <w:r>
        <w:rPr>
          <w:rFonts w:cs="Times New Roman"/>
          <w:w w:val="105"/>
          <w:sz w:val="24"/>
        </w:rPr>
        <w:t>și</w:t>
      </w:r>
      <w:r>
        <w:rPr>
          <w:rFonts w:cs="Times New Roman"/>
          <w:spacing w:val="40"/>
          <w:w w:val="105"/>
          <w:sz w:val="24"/>
        </w:rPr>
        <w:t xml:space="preserve"> </w:t>
      </w:r>
      <w:r>
        <w:rPr>
          <w:rFonts w:cs="Times New Roman"/>
          <w:w w:val="105"/>
          <w:sz w:val="24"/>
        </w:rPr>
        <w:t>soluții</w:t>
      </w:r>
      <w:r>
        <w:rPr>
          <w:rFonts w:cs="Times New Roman"/>
          <w:spacing w:val="40"/>
          <w:w w:val="105"/>
          <w:sz w:val="24"/>
        </w:rPr>
        <w:t xml:space="preserve"> </w:t>
      </w:r>
      <w:r>
        <w:rPr>
          <w:rFonts w:cs="Times New Roman"/>
          <w:w w:val="105"/>
          <w:sz w:val="24"/>
        </w:rPr>
        <w:t>digitale</w:t>
      </w:r>
      <w:r>
        <w:rPr>
          <w:rFonts w:cs="Times New Roman"/>
          <w:spacing w:val="40"/>
          <w:w w:val="105"/>
          <w:sz w:val="24"/>
        </w:rPr>
        <w:t xml:space="preserve"> </w:t>
      </w:r>
      <w:r>
        <w:rPr>
          <w:rFonts w:cs="Times New Roman"/>
          <w:w w:val="105"/>
          <w:sz w:val="24"/>
        </w:rPr>
        <w:t>–</w:t>
      </w:r>
      <w:r>
        <w:rPr>
          <w:rFonts w:cs="Times New Roman"/>
          <w:spacing w:val="40"/>
          <w:w w:val="105"/>
          <w:sz w:val="24"/>
        </w:rPr>
        <w:t xml:space="preserve"> </w:t>
      </w:r>
      <w:r>
        <w:rPr>
          <w:rFonts w:cs="Times New Roman"/>
          <w:w w:val="105"/>
          <w:sz w:val="24"/>
        </w:rPr>
        <w:t>modernizarea</w:t>
      </w:r>
      <w:r>
        <w:rPr>
          <w:rFonts w:cs="Times New Roman"/>
          <w:spacing w:val="40"/>
          <w:w w:val="105"/>
          <w:sz w:val="24"/>
        </w:rPr>
        <w:t xml:space="preserve"> </w:t>
      </w:r>
      <w:r>
        <w:rPr>
          <w:rFonts w:cs="Times New Roman"/>
          <w:w w:val="105"/>
          <w:sz w:val="24"/>
        </w:rPr>
        <w:t>sistemelor</w:t>
      </w:r>
      <w:r>
        <w:rPr>
          <w:rFonts w:cs="Times New Roman"/>
          <w:spacing w:val="40"/>
          <w:w w:val="105"/>
          <w:sz w:val="24"/>
        </w:rPr>
        <w:t xml:space="preserve"> </w:t>
      </w:r>
      <w:r>
        <w:rPr>
          <w:rFonts w:cs="Times New Roman"/>
          <w:w w:val="105"/>
          <w:sz w:val="24"/>
        </w:rPr>
        <w:t>de</w:t>
      </w:r>
      <w:r>
        <w:rPr>
          <w:rFonts w:cs="Times New Roman"/>
          <w:spacing w:val="40"/>
          <w:w w:val="105"/>
          <w:sz w:val="24"/>
        </w:rPr>
        <w:t xml:space="preserve"> </w:t>
      </w:r>
      <w:r>
        <w:rPr>
          <w:rFonts w:cs="Times New Roman"/>
          <w:w w:val="105"/>
          <w:sz w:val="24"/>
        </w:rPr>
        <w:t xml:space="preserve">colectare, de analiză și de utilizare a datelor privind tuberculoza, promovând digitalizarea și utilizarea platformelor informaționale pentru monitorizarea în timp real și luarea deciziilor bazate pe </w:t>
      </w:r>
      <w:r>
        <w:rPr>
          <w:rFonts w:cs="Times New Roman"/>
          <w:spacing w:val="-2"/>
          <w:w w:val="105"/>
          <w:sz w:val="24"/>
        </w:rPr>
        <w:t>dovezi;</w:t>
      </w:r>
    </w:p>
    <w:p w14:paraId="7A1A6134">
      <w:pPr>
        <w:pStyle w:val="15"/>
        <w:numPr>
          <w:ilvl w:val="2"/>
          <w:numId w:val="1"/>
        </w:numPr>
        <w:tabs>
          <w:tab w:val="left" w:pos="567"/>
          <w:tab w:val="left" w:pos="709"/>
        </w:tabs>
        <w:spacing w:line="271" w:lineRule="auto"/>
        <w:ind w:left="0" w:right="137" w:firstLine="567"/>
        <w:jc w:val="both"/>
        <w:rPr>
          <w:rFonts w:cs="Times New Roman"/>
          <w:sz w:val="24"/>
        </w:rPr>
      </w:pPr>
      <w:r>
        <w:rPr>
          <w:rFonts w:cs="Times New Roman"/>
          <w:w w:val="105"/>
          <w:sz w:val="24"/>
        </w:rPr>
        <w:t>achiziții eficiente și lanț de aprovizionare – îmbunătățirea mecanismelor de aprovizionare</w:t>
      </w:r>
      <w:r>
        <w:rPr>
          <w:rFonts w:cs="Times New Roman"/>
          <w:spacing w:val="27"/>
          <w:w w:val="105"/>
          <w:sz w:val="24"/>
        </w:rPr>
        <w:t xml:space="preserve"> </w:t>
      </w:r>
      <w:r>
        <w:rPr>
          <w:rFonts w:cs="Times New Roman"/>
          <w:w w:val="105"/>
          <w:sz w:val="24"/>
        </w:rPr>
        <w:t>cu</w:t>
      </w:r>
      <w:r>
        <w:rPr>
          <w:rFonts w:cs="Times New Roman"/>
          <w:spacing w:val="27"/>
          <w:w w:val="105"/>
          <w:sz w:val="24"/>
        </w:rPr>
        <w:t xml:space="preserve"> </w:t>
      </w:r>
      <w:r>
        <w:rPr>
          <w:rFonts w:cs="Times New Roman"/>
          <w:w w:val="105"/>
          <w:sz w:val="24"/>
        </w:rPr>
        <w:t>medicamente</w:t>
      </w:r>
      <w:r>
        <w:rPr>
          <w:rFonts w:cs="Times New Roman"/>
          <w:spacing w:val="27"/>
          <w:w w:val="105"/>
          <w:sz w:val="24"/>
        </w:rPr>
        <w:t xml:space="preserve"> </w:t>
      </w:r>
      <w:r>
        <w:rPr>
          <w:rFonts w:cs="Times New Roman"/>
          <w:w w:val="105"/>
          <w:sz w:val="24"/>
        </w:rPr>
        <w:t>și</w:t>
      </w:r>
      <w:r>
        <w:rPr>
          <w:rFonts w:cs="Times New Roman"/>
          <w:spacing w:val="27"/>
          <w:w w:val="105"/>
          <w:sz w:val="24"/>
        </w:rPr>
        <w:t xml:space="preserve"> </w:t>
      </w:r>
      <w:r>
        <w:rPr>
          <w:rFonts w:cs="Times New Roman"/>
          <w:w w:val="105"/>
          <w:sz w:val="24"/>
        </w:rPr>
        <w:t>consumabile;</w:t>
      </w:r>
    </w:p>
    <w:p w14:paraId="3B7E5BA5">
      <w:pPr>
        <w:pStyle w:val="15"/>
        <w:numPr>
          <w:ilvl w:val="1"/>
          <w:numId w:val="1"/>
        </w:numPr>
        <w:tabs>
          <w:tab w:val="left" w:pos="567"/>
          <w:tab w:val="left" w:pos="709"/>
          <w:tab w:val="left" w:pos="1330"/>
        </w:tabs>
        <w:ind w:left="0" w:firstLine="567"/>
        <w:jc w:val="both"/>
        <w:rPr>
          <w:rFonts w:cs="Times New Roman"/>
          <w:i/>
          <w:sz w:val="24"/>
        </w:rPr>
      </w:pPr>
      <w:r>
        <w:rPr>
          <w:rFonts w:cs="Times New Roman"/>
          <w:i/>
          <w:w w:val="110"/>
          <w:sz w:val="24"/>
        </w:rPr>
        <w:t>Pilonul</w:t>
      </w:r>
      <w:r>
        <w:rPr>
          <w:rFonts w:cs="Times New Roman"/>
          <w:i/>
          <w:spacing w:val="-1"/>
          <w:w w:val="110"/>
          <w:sz w:val="24"/>
        </w:rPr>
        <w:t xml:space="preserve"> </w:t>
      </w:r>
      <w:r>
        <w:rPr>
          <w:rFonts w:cs="Times New Roman"/>
          <w:i/>
          <w:w w:val="110"/>
          <w:sz w:val="24"/>
        </w:rPr>
        <w:t>3.</w:t>
      </w:r>
      <w:r>
        <w:rPr>
          <w:rFonts w:cs="Times New Roman"/>
          <w:i/>
          <w:spacing w:val="-1"/>
          <w:w w:val="110"/>
          <w:sz w:val="24"/>
        </w:rPr>
        <w:t xml:space="preserve"> </w:t>
      </w:r>
      <w:r>
        <w:rPr>
          <w:rFonts w:cs="Times New Roman"/>
          <w:i/>
          <w:w w:val="110"/>
          <w:sz w:val="24"/>
        </w:rPr>
        <w:t>Intensificarea</w:t>
      </w:r>
      <w:r>
        <w:rPr>
          <w:rFonts w:cs="Times New Roman"/>
          <w:i/>
          <w:spacing w:val="-1"/>
          <w:w w:val="110"/>
          <w:sz w:val="24"/>
        </w:rPr>
        <w:t xml:space="preserve"> </w:t>
      </w:r>
      <w:r>
        <w:rPr>
          <w:rFonts w:cs="Times New Roman"/>
          <w:i/>
          <w:w w:val="110"/>
          <w:sz w:val="24"/>
        </w:rPr>
        <w:t>cercetărilor și</w:t>
      </w:r>
      <w:r>
        <w:rPr>
          <w:rFonts w:cs="Times New Roman"/>
          <w:i/>
          <w:spacing w:val="-1"/>
          <w:w w:val="110"/>
          <w:sz w:val="24"/>
        </w:rPr>
        <w:t xml:space="preserve"> </w:t>
      </w:r>
      <w:r>
        <w:rPr>
          <w:rFonts w:cs="Times New Roman"/>
          <w:i/>
          <w:spacing w:val="-2"/>
          <w:w w:val="110"/>
          <w:sz w:val="24"/>
        </w:rPr>
        <w:t>inovațiilor:</w:t>
      </w:r>
    </w:p>
    <w:p w14:paraId="798EAC98">
      <w:pPr>
        <w:pStyle w:val="15"/>
        <w:numPr>
          <w:ilvl w:val="2"/>
          <w:numId w:val="1"/>
        </w:numPr>
        <w:tabs>
          <w:tab w:val="left" w:pos="567"/>
          <w:tab w:val="left" w:pos="709"/>
          <w:tab w:val="left" w:pos="1625"/>
        </w:tabs>
        <w:spacing w:line="271" w:lineRule="auto"/>
        <w:ind w:left="0" w:right="133" w:firstLine="567"/>
        <w:jc w:val="both"/>
        <w:rPr>
          <w:rFonts w:cs="Times New Roman"/>
          <w:sz w:val="24"/>
        </w:rPr>
      </w:pPr>
      <w:r>
        <w:rPr>
          <w:rFonts w:cs="Times New Roman"/>
          <w:w w:val="105"/>
          <w:sz w:val="24"/>
        </w:rPr>
        <w:t>adoptarea rapidă a noilor tehnologii (diagnostice, scheme de tratament, vaccinuri) și a noilor instrumente;</w:t>
      </w:r>
    </w:p>
    <w:p w14:paraId="71803362">
      <w:pPr>
        <w:tabs>
          <w:tab w:val="left" w:pos="567"/>
          <w:tab w:val="left" w:pos="709"/>
          <w:tab w:val="left" w:pos="1350"/>
        </w:tabs>
        <w:spacing w:line="271" w:lineRule="auto"/>
        <w:ind w:right="130" w:firstLine="567"/>
        <w:jc w:val="both"/>
        <w:rPr>
          <w:rFonts w:cs="Times New Roman"/>
          <w:w w:val="105"/>
          <w:sz w:val="24"/>
        </w:rPr>
      </w:pPr>
      <w:r>
        <w:rPr>
          <w:rFonts w:cs="Times New Roman"/>
          <w:sz w:val="24"/>
        </w:rPr>
        <w:t xml:space="preserve">6. </w:t>
      </w:r>
      <w:r>
        <w:rPr>
          <w:rFonts w:cs="Times New Roman"/>
          <w:w w:val="105"/>
          <w:sz w:val="24"/>
        </w:rPr>
        <w:t xml:space="preserve">Elaborarea </w:t>
      </w:r>
      <w:r>
        <w:rPr>
          <w:rFonts w:cs="Times New Roman"/>
          <w:spacing w:val="9"/>
          <w:w w:val="105"/>
          <w:sz w:val="24"/>
        </w:rPr>
        <w:t xml:space="preserve">prezentului </w:t>
      </w:r>
      <w:r>
        <w:rPr>
          <w:rFonts w:cs="Times New Roman"/>
          <w:w w:val="105"/>
          <w:sz w:val="24"/>
        </w:rPr>
        <w:t xml:space="preserve">Program este bazat pe lecțiile învățate în </w:t>
      </w:r>
      <w:r>
        <w:rPr>
          <w:rFonts w:cs="Times New Roman"/>
          <w:spacing w:val="10"/>
          <w:w w:val="105"/>
          <w:sz w:val="24"/>
        </w:rPr>
        <w:t xml:space="preserve">cadrul </w:t>
      </w:r>
      <w:r>
        <w:rPr>
          <w:rFonts w:cs="Times New Roman"/>
          <w:w w:val="105"/>
          <w:sz w:val="24"/>
        </w:rPr>
        <w:t>implementării</w:t>
      </w:r>
      <w:r>
        <w:rPr>
          <w:rFonts w:cs="Times New Roman"/>
          <w:spacing w:val="40"/>
          <w:w w:val="105"/>
          <w:sz w:val="24"/>
        </w:rPr>
        <w:t xml:space="preserve"> </w:t>
      </w:r>
      <w:r>
        <w:rPr>
          <w:rFonts w:cs="Times New Roman"/>
          <w:w w:val="105"/>
          <w:sz w:val="24"/>
        </w:rPr>
        <w:t>Programului</w:t>
      </w:r>
      <w:r>
        <w:rPr>
          <w:rFonts w:cs="Times New Roman"/>
          <w:spacing w:val="40"/>
          <w:w w:val="105"/>
          <w:sz w:val="24"/>
        </w:rPr>
        <w:t xml:space="preserve"> </w:t>
      </w:r>
      <w:r>
        <w:rPr>
          <w:rFonts w:cs="Times New Roman"/>
          <w:w w:val="105"/>
          <w:sz w:val="24"/>
        </w:rPr>
        <w:t>național</w:t>
      </w:r>
      <w:r>
        <w:rPr>
          <w:rFonts w:cs="Times New Roman"/>
          <w:spacing w:val="40"/>
          <w:w w:val="105"/>
          <w:sz w:val="24"/>
        </w:rPr>
        <w:t xml:space="preserve"> </w:t>
      </w:r>
      <w:r>
        <w:rPr>
          <w:rFonts w:cs="Times New Roman"/>
          <w:w w:val="105"/>
          <w:sz w:val="24"/>
        </w:rPr>
        <w:t>de</w:t>
      </w:r>
      <w:r>
        <w:rPr>
          <w:rFonts w:cs="Times New Roman"/>
          <w:spacing w:val="40"/>
          <w:w w:val="105"/>
          <w:sz w:val="24"/>
        </w:rPr>
        <w:t xml:space="preserve"> </w:t>
      </w:r>
      <w:r>
        <w:rPr>
          <w:rFonts w:cs="Times New Roman"/>
          <w:w w:val="105"/>
          <w:sz w:val="24"/>
        </w:rPr>
        <w:t>răspuns</w:t>
      </w:r>
      <w:r>
        <w:rPr>
          <w:rFonts w:cs="Times New Roman"/>
          <w:spacing w:val="40"/>
          <w:w w:val="105"/>
          <w:sz w:val="24"/>
        </w:rPr>
        <w:t xml:space="preserve"> </w:t>
      </w:r>
      <w:r>
        <w:rPr>
          <w:rFonts w:cs="Times New Roman"/>
          <w:w w:val="105"/>
          <w:sz w:val="24"/>
        </w:rPr>
        <w:t>la</w:t>
      </w:r>
      <w:r>
        <w:rPr>
          <w:rFonts w:cs="Times New Roman"/>
          <w:spacing w:val="40"/>
          <w:w w:val="105"/>
          <w:sz w:val="24"/>
        </w:rPr>
        <w:t xml:space="preserve"> </w:t>
      </w:r>
      <w:r>
        <w:rPr>
          <w:rFonts w:cs="Times New Roman"/>
          <w:w w:val="105"/>
          <w:sz w:val="24"/>
        </w:rPr>
        <w:t>tuberculoză</w:t>
      </w:r>
      <w:r>
        <w:rPr>
          <w:rFonts w:cs="Times New Roman"/>
          <w:spacing w:val="40"/>
          <w:w w:val="105"/>
          <w:sz w:val="24"/>
        </w:rPr>
        <w:t xml:space="preserve"> </w:t>
      </w:r>
      <w:r>
        <w:rPr>
          <w:rFonts w:cs="Times New Roman"/>
          <w:w w:val="105"/>
          <w:sz w:val="24"/>
        </w:rPr>
        <w:t>din</w:t>
      </w:r>
      <w:r>
        <w:rPr>
          <w:rFonts w:cs="Times New Roman"/>
          <w:spacing w:val="40"/>
          <w:w w:val="105"/>
          <w:sz w:val="24"/>
        </w:rPr>
        <w:t xml:space="preserve"> </w:t>
      </w:r>
      <w:r>
        <w:rPr>
          <w:rFonts w:cs="Times New Roman"/>
          <w:w w:val="105"/>
          <w:sz w:val="24"/>
        </w:rPr>
        <w:t>anii</w:t>
      </w:r>
      <w:r>
        <w:rPr>
          <w:rFonts w:cs="Times New Roman"/>
          <w:spacing w:val="40"/>
          <w:w w:val="105"/>
          <w:sz w:val="24"/>
        </w:rPr>
        <w:t xml:space="preserve"> </w:t>
      </w:r>
      <w:r>
        <w:rPr>
          <w:rFonts w:cs="Times New Roman"/>
          <w:w w:val="105"/>
          <w:sz w:val="24"/>
        </w:rPr>
        <w:t>precedenți.</w:t>
      </w:r>
    </w:p>
    <w:p w14:paraId="3B9BC2B6">
      <w:pPr>
        <w:tabs>
          <w:tab w:val="left" w:pos="567"/>
          <w:tab w:val="left" w:pos="709"/>
          <w:tab w:val="left" w:pos="1350"/>
        </w:tabs>
        <w:spacing w:line="271" w:lineRule="auto"/>
        <w:ind w:right="130" w:firstLine="567"/>
        <w:jc w:val="both"/>
        <w:rPr>
          <w:rFonts w:cs="Times New Roman"/>
          <w:sz w:val="24"/>
        </w:rPr>
      </w:pPr>
    </w:p>
    <w:p w14:paraId="5E4033A8">
      <w:pPr>
        <w:tabs>
          <w:tab w:val="left" w:pos="567"/>
          <w:tab w:val="left" w:pos="709"/>
          <w:tab w:val="left" w:pos="1350"/>
        </w:tabs>
        <w:spacing w:line="271" w:lineRule="auto"/>
        <w:ind w:right="130"/>
        <w:jc w:val="both"/>
        <w:rPr>
          <w:rFonts w:cs="Times New Roman"/>
          <w:b/>
        </w:rPr>
      </w:pPr>
      <w:r>
        <w:rPr>
          <w:rFonts w:cs="Times New Roman"/>
          <w:b/>
        </w:rPr>
        <w:t>II . ANALIZA SITUAȚIEI</w:t>
      </w:r>
    </w:p>
    <w:p w14:paraId="600A9403">
      <w:pPr>
        <w:tabs>
          <w:tab w:val="left" w:pos="567"/>
          <w:tab w:val="left" w:pos="709"/>
          <w:tab w:val="left" w:pos="1333"/>
        </w:tabs>
        <w:spacing w:line="271" w:lineRule="auto"/>
        <w:ind w:right="127" w:firstLine="567"/>
        <w:jc w:val="both"/>
        <w:rPr>
          <w:rFonts w:cs="Times New Roman"/>
          <w:sz w:val="24"/>
          <w:szCs w:val="24"/>
        </w:rPr>
      </w:pPr>
      <w:r>
        <w:rPr>
          <w:rFonts w:cs="Times New Roman"/>
          <w:w w:val="105"/>
          <w:sz w:val="24"/>
          <w:szCs w:val="24"/>
        </w:rPr>
        <w:t>7.  Tuberculoza continuă să reprezinte o problemă majoră de sănătate publică pe teritoriul raionului Sîngerei în special în rândul grupurilor vulnerabile,persoanele fără adăpost, persoanele migrante, persoanele consumatoare de droguri, persoanele care trăiesc cu HIV și cele din gospodării cu venituri reduse.</w:t>
      </w:r>
    </w:p>
    <w:p w14:paraId="10DD2B15">
      <w:pPr>
        <w:tabs>
          <w:tab w:val="left" w:pos="567"/>
          <w:tab w:val="left" w:pos="709"/>
          <w:tab w:val="left" w:pos="1333"/>
        </w:tabs>
        <w:spacing w:line="271" w:lineRule="auto"/>
        <w:ind w:right="127" w:firstLine="567"/>
        <w:jc w:val="both"/>
        <w:rPr>
          <w:rFonts w:cs="Times New Roman"/>
          <w:sz w:val="24"/>
          <w:szCs w:val="24"/>
        </w:rPr>
      </w:pPr>
      <w:r>
        <w:rPr>
          <w:rFonts w:cs="Times New Roman"/>
          <w:sz w:val="24"/>
          <w:szCs w:val="24"/>
        </w:rPr>
        <w:t>8.  În planul teritorial, tuberculoza rămîne una dintre problemele prioritare de sănătate publică. Republica Moldova se află printre cele 30 de țări cu povară înaltă a tubeculozei multidrogrezistente din lume.</w:t>
      </w:r>
    </w:p>
    <w:p w14:paraId="6676E995">
      <w:pPr>
        <w:tabs>
          <w:tab w:val="left" w:pos="567"/>
          <w:tab w:val="left" w:pos="709"/>
          <w:tab w:val="left" w:pos="1333"/>
        </w:tabs>
        <w:spacing w:line="271" w:lineRule="auto"/>
        <w:ind w:right="127" w:firstLine="567"/>
        <w:jc w:val="both"/>
        <w:rPr>
          <w:rFonts w:cs="Times New Roman"/>
          <w:sz w:val="24"/>
          <w:szCs w:val="24"/>
        </w:rPr>
      </w:pPr>
      <w:r>
        <w:rPr>
          <w:rFonts w:cs="Times New Roman"/>
          <w:sz w:val="24"/>
          <w:szCs w:val="24"/>
        </w:rPr>
        <w:t>9.  Începînd cu anii 2016, serviciul de Serviciul ftiziopneumologiee dispune de metodă rapidă GeneXpert de depistare a bacteriilor de tuberculoză.</w:t>
      </w:r>
    </w:p>
    <w:p w14:paraId="7AEBD703">
      <w:pPr>
        <w:tabs>
          <w:tab w:val="left" w:pos="567"/>
          <w:tab w:val="left" w:pos="709"/>
          <w:tab w:val="left" w:pos="1333"/>
        </w:tabs>
        <w:spacing w:line="271" w:lineRule="auto"/>
        <w:ind w:right="127" w:firstLine="567"/>
        <w:jc w:val="both"/>
        <w:rPr>
          <w:rFonts w:cs="Times New Roman"/>
          <w:sz w:val="24"/>
          <w:szCs w:val="24"/>
        </w:rPr>
      </w:pPr>
      <w:r>
        <w:rPr>
          <w:rFonts w:cs="Times New Roman"/>
          <w:sz w:val="24"/>
          <w:szCs w:val="24"/>
        </w:rPr>
        <w:t xml:space="preserve">10.  Începînd cu anul 2018 în scopul depistării active a tuberculozei și a cancerului pulmonar localitățile rurale persoanele din grupele de risc au fost asigurate cu screeningul prin radiografia pulmonară, cu utilizarea instalațiilor radiologice și transportarea populației de către organizația neguvernamentală </w:t>
      </w:r>
      <w:r>
        <w:rPr>
          <w:rFonts w:cs="Times New Roman"/>
          <w:sz w:val="24"/>
          <w:szCs w:val="24"/>
          <w:lang w:val="en-US"/>
        </w:rPr>
        <w:t>“SMIT”.</w:t>
      </w:r>
    </w:p>
    <w:p w14:paraId="44A47EC8">
      <w:pPr>
        <w:tabs>
          <w:tab w:val="left" w:pos="567"/>
          <w:tab w:val="left" w:pos="709"/>
        </w:tabs>
        <w:ind w:firstLine="567"/>
        <w:jc w:val="both"/>
        <w:rPr>
          <w:rFonts w:cs="Times New Roman"/>
          <w:sz w:val="24"/>
          <w:szCs w:val="24"/>
        </w:rPr>
      </w:pPr>
      <w:r>
        <w:rPr>
          <w:rFonts w:cs="Times New Roman"/>
          <w:sz w:val="24"/>
          <w:szCs w:val="24"/>
        </w:rPr>
        <w:t>Necesități teritoriale de infrastructură și diagnostic. Pentru asigurarea continuității, accesibilității și calității serviciilor specializate, Serviciul Serviciul ftiziopneumologiec raional necesită spații/încăperi proprii, corespunzătoare cerințelor sanitar-igienice și funcționale, care să permită consultația, examinarea, recoltarea probelor, păstrarea documentației și organizarea fluxurilor de pacienți în condiții de siguranță și confidențialitate.</w:t>
      </w:r>
    </w:p>
    <w:p w14:paraId="75A09FAF">
      <w:pPr>
        <w:tabs>
          <w:tab w:val="left" w:pos="567"/>
          <w:tab w:val="left" w:pos="709"/>
        </w:tabs>
        <w:ind w:firstLine="567"/>
        <w:jc w:val="both"/>
        <w:rPr>
          <w:rFonts w:cs="Times New Roman"/>
          <w:sz w:val="24"/>
          <w:szCs w:val="24"/>
        </w:rPr>
      </w:pPr>
      <w:r>
        <w:rPr>
          <w:rFonts w:cs="Times New Roman"/>
          <w:sz w:val="24"/>
          <w:szCs w:val="24"/>
        </w:rPr>
        <w:t>Totodată, atingerea țintei de screening sistematic a cel puțin 90% din persoanele din grupurile cu risc sporit presupune acces stabil la investigații radiologice. Se impune dotarea serviciului raional cu un aparat radiologic digital performant, destinat diagnosticului și screeningului patologiei pulmonare, cu respectarea cerințelor de radioprotecție, autorizare și mentenanță. Dotarea va reduce dependența de intervenții ocazionale și va crește capacitatea raionului de depistare precoce a tuberculozei.</w:t>
      </w:r>
    </w:p>
    <w:p w14:paraId="2E1B0565">
      <w:pPr>
        <w:tabs>
          <w:tab w:val="left" w:pos="567"/>
          <w:tab w:val="left" w:pos="709"/>
          <w:tab w:val="left" w:pos="1333"/>
        </w:tabs>
        <w:spacing w:line="271" w:lineRule="auto"/>
        <w:ind w:right="127" w:firstLine="567"/>
        <w:jc w:val="both"/>
        <w:rPr>
          <w:rFonts w:cs="Times New Roman"/>
          <w:sz w:val="24"/>
          <w:szCs w:val="24"/>
        </w:rPr>
      </w:pPr>
      <w:r>
        <w:rPr>
          <w:rFonts w:cs="Times New Roman"/>
          <w:sz w:val="24"/>
          <w:szCs w:val="24"/>
          <w:lang w:val="en-US"/>
        </w:rPr>
        <w:t>11.  O altă cauză a nesoluționării problemei tuberculozei este răspîndirea unui număr mare de tulpini Mycobacterii tuberculoase rezistente la preparatele specifice. Acestea au condus la creșterea numărului de eșecuri în tratament.</w:t>
      </w:r>
    </w:p>
    <w:p w14:paraId="5DAAC13E">
      <w:pPr>
        <w:tabs>
          <w:tab w:val="left" w:pos="567"/>
          <w:tab w:val="left" w:pos="709"/>
          <w:tab w:val="left" w:pos="1333"/>
        </w:tabs>
        <w:spacing w:line="271" w:lineRule="auto"/>
        <w:ind w:right="127" w:firstLine="567"/>
        <w:jc w:val="both"/>
        <w:rPr>
          <w:rFonts w:cs="Times New Roman"/>
          <w:sz w:val="24"/>
          <w:szCs w:val="24"/>
        </w:rPr>
      </w:pPr>
      <w:r>
        <w:rPr>
          <w:rFonts w:cs="Times New Roman"/>
          <w:sz w:val="24"/>
          <w:szCs w:val="24"/>
        </w:rPr>
        <w:t>12.  Pe parcursul anului 2025 au fost înregistrate 26 cazuri noi și recidive de tuberculoză, ceea ce constituie o rată de 41,3 la 100mii de populație pentru incidență globala cu o scadere cu 9,5% în comparație cu anul 2024 (32 cazuri noi și recidive, ce constituie – 50,8 la 100mii de populație).</w:t>
      </w:r>
    </w:p>
    <w:p w14:paraId="7AC44149">
      <w:pPr>
        <w:tabs>
          <w:tab w:val="left" w:pos="567"/>
          <w:tab w:val="left" w:pos="709"/>
          <w:tab w:val="left" w:pos="1333"/>
        </w:tabs>
        <w:spacing w:line="271" w:lineRule="auto"/>
        <w:ind w:right="127" w:firstLine="567"/>
        <w:jc w:val="both"/>
        <w:rPr>
          <w:rFonts w:cs="Times New Roman"/>
          <w:sz w:val="24"/>
          <w:szCs w:val="24"/>
        </w:rPr>
      </w:pPr>
      <w:r>
        <w:rPr>
          <w:rFonts w:cs="Times New Roman"/>
          <w:sz w:val="24"/>
          <w:szCs w:val="24"/>
        </w:rPr>
        <w:t>13.  Tuberculoza afectează mai mult bărbații decît femeile, un raport de 18 bărb.-70,0% și                 8 fem.-30,0% din cazurile noi și recidive în anul 2025.</w:t>
      </w:r>
    </w:p>
    <w:p w14:paraId="56097E96">
      <w:pPr>
        <w:tabs>
          <w:tab w:val="left" w:pos="567"/>
          <w:tab w:val="left" w:pos="709"/>
          <w:tab w:val="left" w:pos="1333"/>
        </w:tabs>
        <w:spacing w:line="271" w:lineRule="auto"/>
        <w:ind w:right="127" w:firstLine="567"/>
        <w:jc w:val="both"/>
        <w:rPr>
          <w:rFonts w:cs="Times New Roman"/>
          <w:sz w:val="24"/>
          <w:szCs w:val="24"/>
        </w:rPr>
      </w:pPr>
      <w:r>
        <w:rPr>
          <w:rFonts w:cs="Times New Roman"/>
          <w:sz w:val="24"/>
          <w:szCs w:val="24"/>
        </w:rPr>
        <w:t>14.   Incidența de cazuri noi la copii este in scădere pentru anul 2025 – 7,4 la 100 mii de populație (1 caz), pentru 2024 – 14,7(2 cazuri).</w:t>
      </w:r>
    </w:p>
    <w:p w14:paraId="454A1E14">
      <w:pPr>
        <w:tabs>
          <w:tab w:val="left" w:pos="567"/>
          <w:tab w:val="left" w:pos="709"/>
          <w:tab w:val="left" w:pos="1333"/>
        </w:tabs>
        <w:spacing w:line="271" w:lineRule="auto"/>
        <w:ind w:right="127" w:firstLine="567"/>
        <w:jc w:val="both"/>
        <w:rPr>
          <w:rFonts w:cs="Times New Roman"/>
          <w:sz w:val="24"/>
          <w:szCs w:val="24"/>
        </w:rPr>
      </w:pPr>
      <w:r>
        <w:rPr>
          <w:rFonts w:cs="Times New Roman"/>
          <w:sz w:val="24"/>
          <w:szCs w:val="24"/>
        </w:rPr>
        <w:t>15.  Mortalitatea prin tuberculoză pentru anul 2025 a constituit 3,3 la 100mii de populație (3 cazuri) comparativ cu 2024 – 3,3 (3 cazuri), se menține la același nivel. Pe republică 4,9 la 100mii de populație.</w:t>
      </w:r>
    </w:p>
    <w:p w14:paraId="4770BA16">
      <w:pPr>
        <w:tabs>
          <w:tab w:val="left" w:pos="567"/>
          <w:tab w:val="left" w:pos="709"/>
          <w:tab w:val="left" w:pos="1333"/>
        </w:tabs>
        <w:spacing w:line="271" w:lineRule="auto"/>
        <w:ind w:right="127" w:firstLine="567"/>
        <w:jc w:val="both"/>
        <w:rPr>
          <w:rFonts w:cs="Times New Roman"/>
          <w:sz w:val="24"/>
          <w:szCs w:val="24"/>
        </w:rPr>
      </w:pPr>
      <w:r>
        <w:rPr>
          <w:rFonts w:cs="Times New Roman"/>
          <w:sz w:val="24"/>
          <w:szCs w:val="24"/>
        </w:rPr>
        <w:t>16.  În Republica Moldova tratamentul tuberculozei pentru pacienți asigurați și neasigurați este gratuit. O dată cu introducerea  schemelor  noi de tratament al tuberculozei multidrogrezistente a preparatelor antituberculoase noi ca: Bedaquilina, Linezolid, Clofazemina și Delamanid a crescut rata de succes a tuberculozei multidrogrezistente.</w:t>
      </w:r>
    </w:p>
    <w:p w14:paraId="4A9FA925">
      <w:pPr>
        <w:tabs>
          <w:tab w:val="left" w:pos="567"/>
          <w:tab w:val="left" w:pos="709"/>
          <w:tab w:val="left" w:pos="1333"/>
        </w:tabs>
        <w:spacing w:line="271" w:lineRule="auto"/>
        <w:ind w:right="127" w:firstLine="567"/>
        <w:jc w:val="both"/>
        <w:rPr>
          <w:rFonts w:cs="Times New Roman"/>
          <w:sz w:val="24"/>
          <w:szCs w:val="24"/>
        </w:rPr>
      </w:pPr>
      <w:r>
        <w:rPr>
          <w:rFonts w:cs="Times New Roman"/>
          <w:sz w:val="24"/>
          <w:szCs w:val="24"/>
        </w:rPr>
        <w:t>17.  Persoanele care trăiesc cu HIV au un risc de 22 de ori mai mare de a dezvolta tuberculoza decît persoanele fără HIV. Tuberculoza este cea mai frecventă boală prezentă în rîndul persoanelor care trăiesc cu HIV, inclusiv în rîndul celor care administrează tratament antiretroviral și este cauza principală a decesului persoanelor care trăiesc cu HIV.</w:t>
      </w:r>
    </w:p>
    <w:p w14:paraId="6A28D165">
      <w:pPr>
        <w:pStyle w:val="10"/>
        <w:tabs>
          <w:tab w:val="left" w:pos="567"/>
          <w:tab w:val="left" w:pos="709"/>
        </w:tabs>
        <w:spacing w:line="271" w:lineRule="auto"/>
        <w:ind w:right="136" w:firstLine="567"/>
        <w:jc w:val="both"/>
        <w:rPr>
          <w:rFonts w:cs="Times New Roman"/>
          <w:spacing w:val="80"/>
          <w:w w:val="105"/>
        </w:rPr>
      </w:pPr>
      <w:r>
        <w:rPr>
          <w:rFonts w:cs="Times New Roman"/>
          <w:w w:val="105"/>
        </w:rPr>
        <w:t>18.  Din</w:t>
      </w:r>
      <w:r>
        <w:rPr>
          <w:rFonts w:cs="Times New Roman"/>
          <w:spacing w:val="80"/>
          <w:w w:val="105"/>
        </w:rPr>
        <w:t xml:space="preserve"> </w:t>
      </w:r>
      <w:r>
        <w:rPr>
          <w:rFonts w:cs="Times New Roman"/>
          <w:w w:val="105"/>
        </w:rPr>
        <w:t>anul</w:t>
      </w:r>
      <w:r>
        <w:rPr>
          <w:rFonts w:cs="Times New Roman"/>
          <w:spacing w:val="80"/>
          <w:w w:val="105"/>
        </w:rPr>
        <w:t xml:space="preserve"> </w:t>
      </w:r>
      <w:r>
        <w:rPr>
          <w:rFonts w:cs="Times New Roman"/>
          <w:w w:val="105"/>
        </w:rPr>
        <w:t>2023 în</w:t>
      </w:r>
      <w:r>
        <w:rPr>
          <w:rFonts w:cs="Times New Roman"/>
          <w:spacing w:val="80"/>
          <w:w w:val="105"/>
        </w:rPr>
        <w:t xml:space="preserve"> </w:t>
      </w:r>
      <w:r>
        <w:rPr>
          <w:rFonts w:cs="Times New Roman"/>
          <w:w w:val="105"/>
        </w:rPr>
        <w:t>Protocoalele</w:t>
      </w:r>
      <w:r>
        <w:rPr>
          <w:rFonts w:cs="Times New Roman"/>
          <w:spacing w:val="80"/>
          <w:w w:val="105"/>
        </w:rPr>
        <w:t xml:space="preserve"> </w:t>
      </w:r>
      <w:r>
        <w:rPr>
          <w:rFonts w:cs="Times New Roman"/>
          <w:w w:val="105"/>
        </w:rPr>
        <w:t>Clinice</w:t>
      </w:r>
      <w:r>
        <w:rPr>
          <w:rFonts w:cs="Times New Roman"/>
          <w:spacing w:val="80"/>
          <w:w w:val="105"/>
        </w:rPr>
        <w:t xml:space="preserve"> </w:t>
      </w:r>
      <w:r>
        <w:rPr>
          <w:rFonts w:cs="Times New Roman"/>
          <w:w w:val="105"/>
        </w:rPr>
        <w:t xml:space="preserve">Naționale„Tuberculoza la copil” și „Tuberculoza la adult”  au fost introduse regimuri scurte de tratament pentru </w:t>
      </w:r>
      <w:r>
        <w:rPr>
          <w:rFonts w:cs="Times New Roman"/>
          <w:spacing w:val="11"/>
          <w:w w:val="105"/>
        </w:rPr>
        <w:t xml:space="preserve">tuberculoza sensibilă </w:t>
      </w:r>
      <w:r>
        <w:rPr>
          <w:rFonts w:cs="Times New Roman"/>
          <w:w w:val="105"/>
        </w:rPr>
        <w:t xml:space="preserve">(cu </w:t>
      </w:r>
      <w:r>
        <w:rPr>
          <w:rFonts w:cs="Times New Roman"/>
          <w:spacing w:val="10"/>
          <w:w w:val="105"/>
        </w:rPr>
        <w:t xml:space="preserve">durata </w:t>
      </w:r>
      <w:r>
        <w:rPr>
          <w:rFonts w:cs="Times New Roman"/>
          <w:w w:val="105"/>
        </w:rPr>
        <w:t xml:space="preserve">de </w:t>
      </w:r>
      <w:r>
        <w:rPr>
          <w:rFonts w:cs="Times New Roman"/>
          <w:spacing w:val="13"/>
          <w:w w:val="105"/>
        </w:rPr>
        <w:t>4-</w:t>
      </w:r>
      <w:r>
        <w:rPr>
          <w:rFonts w:cs="Times New Roman"/>
          <w:w w:val="105"/>
        </w:rPr>
        <w:t xml:space="preserve">6 </w:t>
      </w:r>
      <w:r>
        <w:rPr>
          <w:rFonts w:cs="Times New Roman"/>
          <w:spacing w:val="10"/>
          <w:w w:val="105"/>
        </w:rPr>
        <w:t xml:space="preserve">luni) </w:t>
      </w:r>
      <w:r>
        <w:rPr>
          <w:rFonts w:cs="Times New Roman"/>
          <w:w w:val="105"/>
        </w:rPr>
        <w:t xml:space="preserve">și </w:t>
      </w:r>
      <w:r>
        <w:rPr>
          <w:rFonts w:cs="Times New Roman"/>
          <w:spacing w:val="10"/>
          <w:w w:val="105"/>
        </w:rPr>
        <w:t xml:space="preserve">pentru </w:t>
      </w:r>
      <w:r>
        <w:rPr>
          <w:rFonts w:cs="Times New Roman"/>
          <w:spacing w:val="11"/>
          <w:w w:val="105"/>
        </w:rPr>
        <w:t xml:space="preserve">tuberculoza rezistentă </w:t>
      </w:r>
      <w:r>
        <w:rPr>
          <w:rFonts w:cs="Times New Roman"/>
          <w:spacing w:val="13"/>
          <w:w w:val="105"/>
        </w:rPr>
        <w:t xml:space="preserve">la </w:t>
      </w:r>
      <w:r>
        <w:rPr>
          <w:rFonts w:cs="Times New Roman"/>
          <w:w w:val="105"/>
        </w:rPr>
        <w:t>medicamente</w:t>
      </w:r>
      <w:r>
        <w:rPr>
          <w:rFonts w:cs="Times New Roman"/>
          <w:spacing w:val="28"/>
          <w:w w:val="105"/>
        </w:rPr>
        <w:t xml:space="preserve"> </w:t>
      </w:r>
      <w:r>
        <w:rPr>
          <w:rFonts w:cs="Times New Roman"/>
          <w:w w:val="105"/>
        </w:rPr>
        <w:t>(cu</w:t>
      </w:r>
      <w:r>
        <w:rPr>
          <w:rFonts w:cs="Times New Roman"/>
          <w:spacing w:val="28"/>
          <w:w w:val="105"/>
        </w:rPr>
        <w:t xml:space="preserve"> </w:t>
      </w:r>
      <w:r>
        <w:rPr>
          <w:rFonts w:cs="Times New Roman"/>
          <w:w w:val="105"/>
        </w:rPr>
        <w:t>durata</w:t>
      </w:r>
      <w:r>
        <w:rPr>
          <w:rFonts w:cs="Times New Roman"/>
          <w:spacing w:val="28"/>
          <w:w w:val="105"/>
        </w:rPr>
        <w:t xml:space="preserve"> </w:t>
      </w:r>
      <w:r>
        <w:rPr>
          <w:rFonts w:cs="Times New Roman"/>
          <w:w w:val="105"/>
        </w:rPr>
        <w:t>de</w:t>
      </w:r>
      <w:r>
        <w:rPr>
          <w:rFonts w:cs="Times New Roman"/>
          <w:spacing w:val="28"/>
          <w:w w:val="105"/>
        </w:rPr>
        <w:t xml:space="preserve"> </w:t>
      </w:r>
      <w:r>
        <w:rPr>
          <w:rFonts w:cs="Times New Roman"/>
          <w:w w:val="105"/>
        </w:rPr>
        <w:t>6-9</w:t>
      </w:r>
      <w:r>
        <w:rPr>
          <w:rFonts w:cs="Times New Roman"/>
          <w:spacing w:val="28"/>
          <w:w w:val="105"/>
        </w:rPr>
        <w:t xml:space="preserve"> </w:t>
      </w:r>
      <w:r>
        <w:rPr>
          <w:rFonts w:cs="Times New Roman"/>
          <w:w w:val="105"/>
        </w:rPr>
        <w:t>luni),</w:t>
      </w:r>
      <w:r>
        <w:rPr>
          <w:rFonts w:cs="Times New Roman"/>
          <w:spacing w:val="28"/>
          <w:w w:val="105"/>
        </w:rPr>
        <w:t xml:space="preserve"> </w:t>
      </w:r>
      <w:r>
        <w:rPr>
          <w:rFonts w:cs="Times New Roman"/>
          <w:w w:val="105"/>
        </w:rPr>
        <w:t>acestea</w:t>
      </w:r>
      <w:r>
        <w:rPr>
          <w:rFonts w:cs="Times New Roman"/>
          <w:spacing w:val="28"/>
          <w:w w:val="105"/>
        </w:rPr>
        <w:t xml:space="preserve"> </w:t>
      </w:r>
      <w:r>
        <w:rPr>
          <w:rFonts w:cs="Times New Roman"/>
          <w:w w:val="105"/>
        </w:rPr>
        <w:t>contribuind</w:t>
      </w:r>
      <w:r>
        <w:rPr>
          <w:rFonts w:cs="Times New Roman"/>
          <w:spacing w:val="28"/>
          <w:w w:val="105"/>
        </w:rPr>
        <w:t xml:space="preserve"> </w:t>
      </w:r>
      <w:r>
        <w:rPr>
          <w:rFonts w:cs="Times New Roman"/>
          <w:w w:val="105"/>
        </w:rPr>
        <w:t>la</w:t>
      </w:r>
      <w:r>
        <w:rPr>
          <w:rFonts w:cs="Times New Roman"/>
          <w:spacing w:val="28"/>
          <w:w w:val="105"/>
        </w:rPr>
        <w:t xml:space="preserve"> </w:t>
      </w:r>
      <w:r>
        <w:rPr>
          <w:rFonts w:cs="Times New Roman"/>
          <w:w w:val="105"/>
        </w:rPr>
        <w:t>creșterea</w:t>
      </w:r>
      <w:r>
        <w:rPr>
          <w:rFonts w:cs="Times New Roman"/>
          <w:spacing w:val="28"/>
          <w:w w:val="105"/>
        </w:rPr>
        <w:t xml:space="preserve"> </w:t>
      </w:r>
      <w:r>
        <w:rPr>
          <w:rFonts w:cs="Times New Roman"/>
          <w:w w:val="105"/>
        </w:rPr>
        <w:t>eficienței</w:t>
      </w:r>
      <w:r>
        <w:rPr>
          <w:rFonts w:cs="Times New Roman"/>
          <w:spacing w:val="28"/>
          <w:w w:val="105"/>
        </w:rPr>
        <w:t xml:space="preserve"> </w:t>
      </w:r>
      <w:r>
        <w:rPr>
          <w:rFonts w:cs="Times New Roman"/>
          <w:w w:val="105"/>
        </w:rPr>
        <w:t>și</w:t>
      </w:r>
      <w:r>
        <w:rPr>
          <w:rFonts w:cs="Times New Roman"/>
          <w:spacing w:val="28"/>
          <w:w w:val="105"/>
        </w:rPr>
        <w:t xml:space="preserve"> </w:t>
      </w:r>
      <w:r>
        <w:rPr>
          <w:rFonts w:cs="Times New Roman"/>
          <w:w w:val="105"/>
        </w:rPr>
        <w:t>aderenței la tratament.</w:t>
      </w:r>
    </w:p>
    <w:p w14:paraId="3AF6118B">
      <w:pPr>
        <w:tabs>
          <w:tab w:val="left" w:pos="567"/>
          <w:tab w:val="left" w:pos="709"/>
        </w:tabs>
        <w:spacing w:line="271" w:lineRule="auto"/>
        <w:ind w:right="130" w:firstLine="567"/>
        <w:jc w:val="both"/>
        <w:rPr>
          <w:rFonts w:cs="Times New Roman"/>
          <w:sz w:val="24"/>
          <w:szCs w:val="24"/>
        </w:rPr>
      </w:pPr>
      <w:r>
        <w:rPr>
          <w:rFonts w:cs="Times New Roman"/>
          <w:w w:val="105"/>
          <w:sz w:val="24"/>
          <w:szCs w:val="24"/>
        </w:rPr>
        <w:t>19.  Aderența la tratamentul tuberculozei este susținută printr-o gamă de mecanisme:</w:t>
      </w:r>
    </w:p>
    <w:p w14:paraId="0D0BD306">
      <w:pPr>
        <w:pStyle w:val="15"/>
        <w:tabs>
          <w:tab w:val="left" w:pos="567"/>
          <w:tab w:val="left" w:pos="709"/>
        </w:tabs>
        <w:spacing w:line="271" w:lineRule="auto"/>
        <w:ind w:left="0" w:right="130" w:firstLine="567"/>
        <w:rPr>
          <w:rFonts w:cs="Times New Roman"/>
          <w:sz w:val="24"/>
          <w:szCs w:val="24"/>
        </w:rPr>
      </w:pPr>
      <w:r>
        <w:rPr>
          <w:rFonts w:cs="Times New Roman"/>
          <w:b/>
          <w:w w:val="105"/>
          <w:sz w:val="24"/>
          <w:szCs w:val="24"/>
        </w:rPr>
        <w:t>19.1.</w:t>
      </w:r>
      <w:r>
        <w:rPr>
          <w:rFonts w:cs="Times New Roman"/>
          <w:w w:val="105"/>
          <w:sz w:val="24"/>
          <w:szCs w:val="24"/>
        </w:rPr>
        <w:t xml:space="preserve">  Tratamentului (DOT)se efectuiză  în condiții de</w:t>
      </w:r>
      <w:r>
        <w:rPr>
          <w:rFonts w:cs="Times New Roman"/>
          <w:spacing w:val="40"/>
          <w:w w:val="105"/>
          <w:sz w:val="24"/>
          <w:szCs w:val="24"/>
        </w:rPr>
        <w:t xml:space="preserve"> </w:t>
      </w:r>
      <w:r>
        <w:rPr>
          <w:rFonts w:cs="Times New Roman"/>
          <w:w w:val="105"/>
          <w:sz w:val="24"/>
          <w:szCs w:val="24"/>
        </w:rPr>
        <w:t>ambulatoriu</w:t>
      </w:r>
      <w:r>
        <w:rPr>
          <w:rFonts w:cs="Times New Roman"/>
          <w:spacing w:val="40"/>
          <w:w w:val="105"/>
          <w:sz w:val="24"/>
          <w:szCs w:val="24"/>
        </w:rPr>
        <w:t xml:space="preserve"> </w:t>
      </w:r>
      <w:r>
        <w:rPr>
          <w:rFonts w:cs="Times New Roman"/>
          <w:w w:val="105"/>
          <w:sz w:val="24"/>
          <w:szCs w:val="24"/>
        </w:rPr>
        <w:t>sau</w:t>
      </w:r>
      <w:r>
        <w:rPr>
          <w:rFonts w:cs="Times New Roman"/>
          <w:spacing w:val="40"/>
          <w:w w:val="105"/>
          <w:sz w:val="24"/>
          <w:szCs w:val="24"/>
        </w:rPr>
        <w:t xml:space="preserve"> </w:t>
      </w:r>
      <w:r>
        <w:rPr>
          <w:rFonts w:cs="Times New Roman"/>
          <w:w w:val="105"/>
          <w:sz w:val="24"/>
          <w:szCs w:val="24"/>
        </w:rPr>
        <w:t>la</w:t>
      </w:r>
      <w:r>
        <w:rPr>
          <w:rFonts w:cs="Times New Roman"/>
          <w:spacing w:val="40"/>
          <w:w w:val="105"/>
          <w:sz w:val="24"/>
          <w:szCs w:val="24"/>
        </w:rPr>
        <w:t xml:space="preserve"> </w:t>
      </w:r>
      <w:r>
        <w:rPr>
          <w:rFonts w:cs="Times New Roman"/>
          <w:w w:val="105"/>
          <w:sz w:val="24"/>
          <w:szCs w:val="24"/>
        </w:rPr>
        <w:t>domiciliu,</w:t>
      </w:r>
      <w:r>
        <w:rPr>
          <w:rFonts w:cs="Times New Roman"/>
          <w:spacing w:val="40"/>
          <w:w w:val="105"/>
          <w:sz w:val="24"/>
          <w:szCs w:val="24"/>
        </w:rPr>
        <w:t xml:space="preserve"> </w:t>
      </w:r>
      <w:r>
        <w:rPr>
          <w:rFonts w:cs="Times New Roman"/>
          <w:w w:val="105"/>
          <w:sz w:val="24"/>
          <w:szCs w:val="24"/>
        </w:rPr>
        <w:t>utilizarea</w:t>
      </w:r>
      <w:r>
        <w:rPr>
          <w:rFonts w:cs="Times New Roman"/>
          <w:spacing w:val="40"/>
          <w:w w:val="105"/>
          <w:sz w:val="24"/>
          <w:szCs w:val="24"/>
        </w:rPr>
        <w:t xml:space="preserve"> </w:t>
      </w:r>
      <w:r>
        <w:rPr>
          <w:rFonts w:cs="Times New Roman"/>
          <w:w w:val="105"/>
          <w:sz w:val="24"/>
          <w:szCs w:val="24"/>
        </w:rPr>
        <w:t>tratamentului</w:t>
      </w:r>
      <w:r>
        <w:rPr>
          <w:rFonts w:cs="Times New Roman"/>
          <w:spacing w:val="40"/>
          <w:w w:val="105"/>
          <w:sz w:val="24"/>
          <w:szCs w:val="24"/>
        </w:rPr>
        <w:t xml:space="preserve"> </w:t>
      </w:r>
      <w:r>
        <w:rPr>
          <w:rFonts w:cs="Times New Roman"/>
          <w:w w:val="105"/>
          <w:sz w:val="24"/>
          <w:szCs w:val="24"/>
        </w:rPr>
        <w:t>videoasistat</w:t>
      </w:r>
      <w:r>
        <w:rPr>
          <w:rFonts w:cs="Times New Roman"/>
          <w:spacing w:val="40"/>
          <w:w w:val="105"/>
          <w:sz w:val="24"/>
          <w:szCs w:val="24"/>
        </w:rPr>
        <w:t xml:space="preserve"> </w:t>
      </w:r>
      <w:r>
        <w:rPr>
          <w:rFonts w:cs="Times New Roman"/>
          <w:w w:val="105"/>
          <w:sz w:val="24"/>
          <w:szCs w:val="24"/>
        </w:rPr>
        <w:t>(VST).</w:t>
      </w:r>
    </w:p>
    <w:p w14:paraId="57B45788">
      <w:pPr>
        <w:pStyle w:val="15"/>
        <w:tabs>
          <w:tab w:val="left" w:pos="567"/>
          <w:tab w:val="left" w:pos="709"/>
        </w:tabs>
        <w:spacing w:line="271" w:lineRule="auto"/>
        <w:ind w:left="0" w:right="130" w:firstLine="567"/>
        <w:rPr>
          <w:rFonts w:cs="Times New Roman"/>
          <w:spacing w:val="40"/>
          <w:w w:val="105"/>
          <w:sz w:val="24"/>
          <w:szCs w:val="24"/>
        </w:rPr>
      </w:pPr>
      <w:r>
        <w:rPr>
          <w:rFonts w:cs="Times New Roman"/>
          <w:b/>
          <w:w w:val="105"/>
          <w:sz w:val="24"/>
          <w:szCs w:val="24"/>
        </w:rPr>
        <w:t>19.2.</w:t>
      </w:r>
      <w:r>
        <w:rPr>
          <w:rFonts w:cs="Times New Roman"/>
          <w:w w:val="105"/>
          <w:sz w:val="24"/>
          <w:szCs w:val="24"/>
        </w:rPr>
        <w:t xml:space="preserve">  Începând</w:t>
      </w:r>
      <w:r>
        <w:rPr>
          <w:rFonts w:cs="Times New Roman"/>
          <w:spacing w:val="40"/>
          <w:w w:val="105"/>
          <w:sz w:val="24"/>
          <w:szCs w:val="24"/>
        </w:rPr>
        <w:t xml:space="preserve"> </w:t>
      </w:r>
      <w:r>
        <w:rPr>
          <w:rFonts w:cs="Times New Roman"/>
          <w:w w:val="105"/>
          <w:sz w:val="24"/>
          <w:szCs w:val="24"/>
        </w:rPr>
        <w:t>cu</w:t>
      </w:r>
      <w:r>
        <w:rPr>
          <w:rFonts w:cs="Times New Roman"/>
          <w:spacing w:val="40"/>
          <w:w w:val="105"/>
          <w:sz w:val="24"/>
          <w:szCs w:val="24"/>
        </w:rPr>
        <w:t xml:space="preserve"> </w:t>
      </w:r>
      <w:r>
        <w:rPr>
          <w:rFonts w:cs="Times New Roman"/>
          <w:w w:val="105"/>
          <w:sz w:val="24"/>
          <w:szCs w:val="24"/>
        </w:rPr>
        <w:t>anul</w:t>
      </w:r>
      <w:r>
        <w:rPr>
          <w:rFonts w:cs="Times New Roman"/>
          <w:spacing w:val="40"/>
          <w:w w:val="105"/>
          <w:sz w:val="24"/>
          <w:szCs w:val="24"/>
        </w:rPr>
        <w:t xml:space="preserve"> </w:t>
      </w:r>
      <w:r>
        <w:rPr>
          <w:rFonts w:cs="Times New Roman"/>
          <w:w w:val="105"/>
          <w:sz w:val="24"/>
          <w:szCs w:val="24"/>
        </w:rPr>
        <w:t>2024,</w:t>
      </w:r>
      <w:r>
        <w:rPr>
          <w:rFonts w:cs="Times New Roman"/>
          <w:spacing w:val="40"/>
          <w:w w:val="105"/>
          <w:sz w:val="24"/>
          <w:szCs w:val="24"/>
        </w:rPr>
        <w:t xml:space="preserve"> </w:t>
      </w:r>
      <w:r>
        <w:rPr>
          <w:rFonts w:cs="Times New Roman"/>
          <w:w w:val="105"/>
          <w:sz w:val="24"/>
          <w:szCs w:val="24"/>
        </w:rPr>
        <w:t>stimulentele</w:t>
      </w:r>
      <w:r>
        <w:rPr>
          <w:rFonts w:cs="Times New Roman"/>
          <w:spacing w:val="40"/>
          <w:w w:val="105"/>
          <w:sz w:val="24"/>
          <w:szCs w:val="24"/>
        </w:rPr>
        <w:t xml:space="preserve"> </w:t>
      </w:r>
      <w:r>
        <w:rPr>
          <w:rFonts w:cs="Times New Roman"/>
          <w:w w:val="105"/>
          <w:sz w:val="24"/>
          <w:szCs w:val="24"/>
        </w:rPr>
        <w:t>pentru pacienții aflați în tratament       ambulatoriu sunt acordate conform Ordinul MS în comun  cu  CNAM nr. 1189/324-A/2023.  beneficiază de 53 lei/zi pentru produse alimentare și 150 lei/lună pentru transport.</w:t>
      </w:r>
    </w:p>
    <w:p w14:paraId="524497F3">
      <w:pPr>
        <w:pStyle w:val="15"/>
        <w:tabs>
          <w:tab w:val="left" w:pos="567"/>
          <w:tab w:val="left" w:pos="709"/>
        </w:tabs>
        <w:spacing w:line="271" w:lineRule="auto"/>
        <w:ind w:left="0" w:right="130" w:firstLine="567"/>
        <w:rPr>
          <w:rFonts w:cs="Times New Roman"/>
          <w:spacing w:val="9"/>
          <w:w w:val="105"/>
          <w:sz w:val="24"/>
          <w:szCs w:val="24"/>
        </w:rPr>
      </w:pPr>
      <w:r>
        <w:rPr>
          <w:rFonts w:cs="Times New Roman"/>
          <w:spacing w:val="40"/>
          <w:w w:val="105"/>
          <w:sz w:val="24"/>
          <w:szCs w:val="24"/>
        </w:rPr>
        <w:t>20</w:t>
      </w:r>
      <w:r>
        <w:rPr>
          <w:rFonts w:cs="Times New Roman"/>
          <w:b/>
          <w:spacing w:val="40"/>
          <w:w w:val="105"/>
          <w:sz w:val="24"/>
          <w:szCs w:val="24"/>
        </w:rPr>
        <w:t xml:space="preserve">.  </w:t>
      </w:r>
      <w:r>
        <w:rPr>
          <w:rFonts w:cs="Times New Roman"/>
          <w:w w:val="105"/>
          <w:sz w:val="24"/>
          <w:szCs w:val="24"/>
        </w:rPr>
        <w:t>Rata</w:t>
      </w:r>
      <w:r>
        <w:rPr>
          <w:rFonts w:cs="Times New Roman"/>
          <w:spacing w:val="40"/>
          <w:w w:val="105"/>
          <w:sz w:val="24"/>
          <w:szCs w:val="24"/>
        </w:rPr>
        <w:t xml:space="preserve"> </w:t>
      </w:r>
      <w:r>
        <w:rPr>
          <w:rFonts w:cs="Times New Roman"/>
          <w:w w:val="105"/>
          <w:sz w:val="24"/>
          <w:szCs w:val="24"/>
        </w:rPr>
        <w:t>de</w:t>
      </w:r>
      <w:r>
        <w:rPr>
          <w:rFonts w:cs="Times New Roman"/>
          <w:spacing w:val="40"/>
          <w:w w:val="105"/>
          <w:sz w:val="24"/>
          <w:szCs w:val="24"/>
        </w:rPr>
        <w:t xml:space="preserve"> </w:t>
      </w:r>
      <w:r>
        <w:rPr>
          <w:rFonts w:cs="Times New Roman"/>
          <w:w w:val="105"/>
          <w:sz w:val="24"/>
          <w:szCs w:val="24"/>
        </w:rPr>
        <w:t>succes</w:t>
      </w:r>
      <w:r>
        <w:rPr>
          <w:rFonts w:cs="Times New Roman"/>
          <w:spacing w:val="40"/>
          <w:w w:val="105"/>
          <w:sz w:val="24"/>
          <w:szCs w:val="24"/>
        </w:rPr>
        <w:t xml:space="preserve"> </w:t>
      </w:r>
      <w:r>
        <w:rPr>
          <w:rFonts w:cs="Times New Roman"/>
          <w:w w:val="105"/>
          <w:sz w:val="24"/>
          <w:szCs w:val="24"/>
        </w:rPr>
        <w:t>printre</w:t>
      </w:r>
      <w:r>
        <w:rPr>
          <w:rFonts w:cs="Times New Roman"/>
          <w:spacing w:val="40"/>
          <w:w w:val="105"/>
          <w:sz w:val="24"/>
          <w:szCs w:val="24"/>
        </w:rPr>
        <w:t xml:space="preserve"> </w:t>
      </w:r>
      <w:r>
        <w:rPr>
          <w:rFonts w:cs="Times New Roman"/>
          <w:w w:val="105"/>
          <w:sz w:val="24"/>
          <w:szCs w:val="24"/>
        </w:rPr>
        <w:t>cazurile</w:t>
      </w:r>
      <w:r>
        <w:rPr>
          <w:rFonts w:cs="Times New Roman"/>
          <w:spacing w:val="40"/>
          <w:w w:val="105"/>
          <w:sz w:val="24"/>
          <w:szCs w:val="24"/>
        </w:rPr>
        <w:t xml:space="preserve"> </w:t>
      </w:r>
      <w:r>
        <w:rPr>
          <w:rFonts w:cs="Times New Roman"/>
          <w:w w:val="105"/>
          <w:sz w:val="24"/>
          <w:szCs w:val="24"/>
        </w:rPr>
        <w:t>noi</w:t>
      </w:r>
      <w:r>
        <w:rPr>
          <w:rFonts w:cs="Times New Roman"/>
          <w:spacing w:val="40"/>
          <w:w w:val="105"/>
          <w:sz w:val="24"/>
          <w:szCs w:val="24"/>
        </w:rPr>
        <w:t xml:space="preserve"> </w:t>
      </w:r>
      <w:r>
        <w:rPr>
          <w:rFonts w:cs="Times New Roman"/>
          <w:w w:val="105"/>
          <w:sz w:val="24"/>
          <w:szCs w:val="24"/>
        </w:rPr>
        <w:t>și</w:t>
      </w:r>
      <w:r>
        <w:rPr>
          <w:rFonts w:cs="Times New Roman"/>
          <w:spacing w:val="40"/>
          <w:w w:val="105"/>
          <w:sz w:val="24"/>
          <w:szCs w:val="24"/>
        </w:rPr>
        <w:t xml:space="preserve"> </w:t>
      </w:r>
      <w:r>
        <w:rPr>
          <w:rFonts w:cs="Times New Roman"/>
          <w:w w:val="105"/>
          <w:sz w:val="24"/>
          <w:szCs w:val="24"/>
        </w:rPr>
        <w:t>recidive</w:t>
      </w:r>
      <w:r>
        <w:rPr>
          <w:rFonts w:cs="Times New Roman"/>
          <w:spacing w:val="40"/>
          <w:w w:val="105"/>
          <w:sz w:val="24"/>
          <w:szCs w:val="24"/>
        </w:rPr>
        <w:t xml:space="preserve"> </w:t>
      </w:r>
      <w:r>
        <w:rPr>
          <w:rFonts w:cs="Times New Roman"/>
          <w:w w:val="105"/>
          <w:sz w:val="24"/>
          <w:szCs w:val="24"/>
        </w:rPr>
        <w:t>de</w:t>
      </w:r>
      <w:r>
        <w:rPr>
          <w:rFonts w:cs="Times New Roman"/>
          <w:spacing w:val="40"/>
          <w:w w:val="105"/>
          <w:sz w:val="24"/>
          <w:szCs w:val="24"/>
        </w:rPr>
        <w:t xml:space="preserve"> </w:t>
      </w:r>
      <w:r>
        <w:rPr>
          <w:rFonts w:cs="Times New Roman"/>
          <w:w w:val="105"/>
          <w:sz w:val="24"/>
          <w:szCs w:val="24"/>
        </w:rPr>
        <w:t xml:space="preserve">tuberculoză sensibilă pentru </w:t>
      </w:r>
      <w:r>
        <w:rPr>
          <w:rFonts w:cs="Times New Roman"/>
          <w:spacing w:val="9"/>
          <w:w w:val="105"/>
          <w:sz w:val="24"/>
          <w:szCs w:val="24"/>
        </w:rPr>
        <w:t>2025-80,7%, este în creștere față de 2024– 73,1%.</w:t>
      </w:r>
    </w:p>
    <w:p w14:paraId="2C862902">
      <w:pPr>
        <w:pStyle w:val="15"/>
        <w:tabs>
          <w:tab w:val="left" w:pos="567"/>
          <w:tab w:val="left" w:pos="709"/>
        </w:tabs>
        <w:spacing w:line="271" w:lineRule="auto"/>
        <w:ind w:left="0" w:right="130" w:firstLine="567"/>
        <w:rPr>
          <w:rFonts w:cs="Times New Roman"/>
          <w:spacing w:val="9"/>
          <w:w w:val="105"/>
          <w:sz w:val="24"/>
          <w:szCs w:val="24"/>
        </w:rPr>
      </w:pPr>
      <w:r>
        <w:rPr>
          <w:rFonts w:cs="Times New Roman"/>
          <w:spacing w:val="9"/>
          <w:w w:val="105"/>
          <w:sz w:val="24"/>
          <w:szCs w:val="24"/>
        </w:rPr>
        <w:t>21.  Rata de succes a tratamentului MDR  2024-67%(4/6).</w:t>
      </w:r>
    </w:p>
    <w:p w14:paraId="31E00280">
      <w:pPr>
        <w:pStyle w:val="15"/>
        <w:tabs>
          <w:tab w:val="left" w:pos="567"/>
          <w:tab w:val="left" w:pos="709"/>
        </w:tabs>
        <w:spacing w:line="271" w:lineRule="auto"/>
        <w:ind w:left="0" w:right="130" w:firstLine="567"/>
        <w:rPr>
          <w:rFonts w:cs="Times New Roman"/>
          <w:spacing w:val="40"/>
          <w:w w:val="105"/>
          <w:sz w:val="24"/>
          <w:szCs w:val="24"/>
        </w:rPr>
      </w:pPr>
      <w:r>
        <w:rPr>
          <w:rFonts w:cs="Times New Roman"/>
          <w:w w:val="105"/>
          <w:sz w:val="24"/>
          <w:szCs w:val="24"/>
        </w:rPr>
        <w:t>Analizînd</w:t>
      </w:r>
      <w:r>
        <w:rPr>
          <w:rFonts w:cs="Times New Roman"/>
          <w:spacing w:val="40"/>
          <w:w w:val="105"/>
          <w:sz w:val="24"/>
          <w:szCs w:val="24"/>
        </w:rPr>
        <w:t xml:space="preserve"> </w:t>
      </w:r>
      <w:r>
        <w:rPr>
          <w:rFonts w:cs="Times New Roman"/>
          <w:w w:val="105"/>
          <w:sz w:val="24"/>
          <w:szCs w:val="24"/>
        </w:rPr>
        <w:t>situația</w:t>
      </w:r>
      <w:r>
        <w:rPr>
          <w:rFonts w:cs="Times New Roman"/>
          <w:spacing w:val="40"/>
          <w:w w:val="105"/>
          <w:sz w:val="24"/>
          <w:szCs w:val="24"/>
        </w:rPr>
        <w:t xml:space="preserve"> </w:t>
      </w:r>
      <w:r>
        <w:rPr>
          <w:rFonts w:cs="Times New Roman"/>
          <w:w w:val="105"/>
          <w:sz w:val="24"/>
          <w:szCs w:val="24"/>
        </w:rPr>
        <w:t>epidemiologică pe raionul Sîngerei  se constată  o scădere în  ultimii 3 ani 2023, 2024, 2025 a incidenței globale.</w:t>
      </w:r>
    </w:p>
    <w:p w14:paraId="79CCBAFE">
      <w:pPr>
        <w:pStyle w:val="15"/>
        <w:tabs>
          <w:tab w:val="left" w:pos="567"/>
          <w:tab w:val="left" w:pos="709"/>
        </w:tabs>
        <w:spacing w:line="271" w:lineRule="auto"/>
        <w:ind w:left="0" w:right="130" w:firstLine="0"/>
        <w:rPr>
          <w:rFonts w:cs="Times New Roman"/>
          <w:sz w:val="24"/>
          <w:szCs w:val="24"/>
        </w:rPr>
      </w:pPr>
    </w:p>
    <w:p w14:paraId="3E2EA1F4">
      <w:pPr>
        <w:pStyle w:val="15"/>
        <w:tabs>
          <w:tab w:val="left" w:pos="567"/>
          <w:tab w:val="left" w:pos="709"/>
        </w:tabs>
        <w:spacing w:line="271" w:lineRule="auto"/>
        <w:ind w:left="0" w:right="130" w:firstLine="0"/>
        <w:rPr>
          <w:rFonts w:cs="Times New Roman"/>
          <w:sz w:val="24"/>
        </w:rPr>
      </w:pPr>
    </w:p>
    <w:p w14:paraId="1E07D4E6">
      <w:pPr>
        <w:tabs>
          <w:tab w:val="left" w:pos="567"/>
          <w:tab w:val="left" w:pos="709"/>
          <w:tab w:val="left" w:pos="1360"/>
          <w:tab w:val="left" w:pos="4039"/>
        </w:tabs>
        <w:spacing w:line="271" w:lineRule="auto"/>
        <w:ind w:right="129"/>
        <w:jc w:val="both"/>
        <w:rPr>
          <w:rFonts w:cs="Times New Roman"/>
          <w:b/>
        </w:rPr>
      </w:pPr>
      <w:r>
        <w:rPr>
          <w:rFonts w:cs="Times New Roman"/>
          <w:b/>
          <w:w w:val="115"/>
        </w:rPr>
        <w:t>III.   OBIECTIVUL</w:t>
      </w:r>
      <w:r>
        <w:rPr>
          <w:rFonts w:cs="Times New Roman"/>
          <w:b/>
          <w:spacing w:val="14"/>
          <w:w w:val="115"/>
        </w:rPr>
        <w:t xml:space="preserve"> </w:t>
      </w:r>
      <w:r>
        <w:rPr>
          <w:rFonts w:cs="Times New Roman"/>
          <w:b/>
          <w:spacing w:val="-2"/>
          <w:w w:val="115"/>
        </w:rPr>
        <w:t>GENERAL</w:t>
      </w:r>
    </w:p>
    <w:p w14:paraId="2D7F4B6E">
      <w:pPr>
        <w:pStyle w:val="10"/>
        <w:tabs>
          <w:tab w:val="left" w:pos="567"/>
          <w:tab w:val="left" w:pos="709"/>
        </w:tabs>
        <w:jc w:val="both"/>
        <w:rPr>
          <w:rFonts w:cs="Times New Roman"/>
          <w:b/>
        </w:rPr>
      </w:pPr>
    </w:p>
    <w:p w14:paraId="077D8691">
      <w:pPr>
        <w:tabs>
          <w:tab w:val="left" w:pos="567"/>
          <w:tab w:val="left" w:pos="709"/>
          <w:tab w:val="left" w:pos="1302"/>
        </w:tabs>
        <w:spacing w:line="271" w:lineRule="auto"/>
        <w:ind w:right="136" w:firstLine="567"/>
        <w:jc w:val="both"/>
        <w:rPr>
          <w:rFonts w:cs="Times New Roman"/>
          <w:sz w:val="24"/>
        </w:rPr>
      </w:pPr>
      <w:r>
        <w:rPr>
          <w:rFonts w:cs="Times New Roman"/>
          <w:w w:val="105"/>
          <w:sz w:val="24"/>
        </w:rPr>
        <w:t>22.  Populația raionului Sîngerei este protejată eficient împotriva tuberculozei și beneficiază de servicii de sănătate de înaltă</w:t>
      </w:r>
      <w:r>
        <w:rPr>
          <w:rFonts w:cs="Times New Roman"/>
          <w:spacing w:val="80"/>
          <w:w w:val="105"/>
          <w:sz w:val="24"/>
        </w:rPr>
        <w:t xml:space="preserve"> </w:t>
      </w:r>
      <w:r>
        <w:rPr>
          <w:rFonts w:cs="Times New Roman"/>
          <w:w w:val="105"/>
          <w:sz w:val="24"/>
        </w:rPr>
        <w:t>calitate, echitabile și centrate pe pacient, într-un sistem modern, eficient și responsabil, conform</w:t>
      </w:r>
      <w:r>
        <w:rPr>
          <w:rFonts w:cs="Times New Roman"/>
          <w:spacing w:val="40"/>
          <w:w w:val="105"/>
          <w:sz w:val="24"/>
        </w:rPr>
        <w:t xml:space="preserve"> </w:t>
      </w:r>
      <w:r>
        <w:rPr>
          <w:rFonts w:cs="Times New Roman"/>
          <w:w w:val="105"/>
          <w:sz w:val="24"/>
        </w:rPr>
        <w:t>principiilor</w:t>
      </w:r>
      <w:r>
        <w:rPr>
          <w:rFonts w:cs="Times New Roman"/>
          <w:spacing w:val="40"/>
          <w:w w:val="105"/>
          <w:sz w:val="24"/>
        </w:rPr>
        <w:t xml:space="preserve"> </w:t>
      </w:r>
      <w:r>
        <w:rPr>
          <w:rFonts w:cs="Times New Roman"/>
          <w:w w:val="105"/>
          <w:sz w:val="24"/>
        </w:rPr>
        <w:t>Strategiei</w:t>
      </w:r>
      <w:r>
        <w:rPr>
          <w:rFonts w:cs="Times New Roman"/>
          <w:spacing w:val="40"/>
          <w:w w:val="105"/>
          <w:sz w:val="24"/>
        </w:rPr>
        <w:t xml:space="preserve"> </w:t>
      </w:r>
      <w:r>
        <w:rPr>
          <w:rFonts w:cs="Times New Roman"/>
          <w:w w:val="105"/>
          <w:sz w:val="24"/>
        </w:rPr>
        <w:t>Naționale</w:t>
      </w:r>
      <w:r>
        <w:rPr>
          <w:rFonts w:cs="Times New Roman"/>
          <w:spacing w:val="40"/>
          <w:w w:val="105"/>
          <w:sz w:val="24"/>
        </w:rPr>
        <w:t xml:space="preserve"> </w:t>
      </w:r>
      <w:r>
        <w:rPr>
          <w:rFonts w:cs="Times New Roman"/>
          <w:w w:val="105"/>
          <w:sz w:val="24"/>
        </w:rPr>
        <w:t>de</w:t>
      </w:r>
      <w:r>
        <w:rPr>
          <w:rFonts w:cs="Times New Roman"/>
          <w:spacing w:val="40"/>
          <w:w w:val="105"/>
          <w:sz w:val="24"/>
        </w:rPr>
        <w:t xml:space="preserve"> </w:t>
      </w:r>
      <w:r>
        <w:rPr>
          <w:rFonts w:cs="Times New Roman"/>
          <w:w w:val="105"/>
          <w:sz w:val="24"/>
        </w:rPr>
        <w:t>Sănătate</w:t>
      </w:r>
      <w:r>
        <w:rPr>
          <w:rFonts w:cs="Times New Roman"/>
          <w:spacing w:val="40"/>
          <w:w w:val="105"/>
          <w:sz w:val="24"/>
        </w:rPr>
        <w:t xml:space="preserve"> </w:t>
      </w:r>
      <w:r>
        <w:rPr>
          <w:rFonts w:cs="Times New Roman"/>
          <w:w w:val="105"/>
          <w:sz w:val="24"/>
        </w:rPr>
        <w:t>„Sănătatea</w:t>
      </w:r>
      <w:r>
        <w:rPr>
          <w:rFonts w:cs="Times New Roman"/>
          <w:spacing w:val="40"/>
          <w:w w:val="105"/>
          <w:sz w:val="24"/>
        </w:rPr>
        <w:t xml:space="preserve"> </w:t>
      </w:r>
      <w:r>
        <w:rPr>
          <w:rFonts w:cs="Times New Roman"/>
          <w:w w:val="105"/>
          <w:sz w:val="24"/>
        </w:rPr>
        <w:t>2030”.</w:t>
      </w:r>
    </w:p>
    <w:p w14:paraId="75A026B7">
      <w:pPr>
        <w:tabs>
          <w:tab w:val="left" w:pos="567"/>
          <w:tab w:val="left" w:pos="709"/>
          <w:tab w:val="left" w:pos="1312"/>
        </w:tabs>
        <w:spacing w:line="271" w:lineRule="auto"/>
        <w:ind w:right="132" w:firstLine="567"/>
        <w:jc w:val="both"/>
        <w:rPr>
          <w:rFonts w:cs="Times New Roman"/>
          <w:sz w:val="24"/>
        </w:rPr>
      </w:pPr>
      <w:r>
        <w:rPr>
          <w:rFonts w:cs="Times New Roman"/>
          <w:w w:val="105"/>
          <w:sz w:val="24"/>
        </w:rPr>
        <w:t>23.  Scopul prezentului Program este reducerea transmiterii tuberculozei sensibile și rezistente</w:t>
      </w:r>
      <w:r>
        <w:rPr>
          <w:rFonts w:cs="Times New Roman"/>
          <w:spacing w:val="40"/>
          <w:w w:val="105"/>
          <w:sz w:val="24"/>
        </w:rPr>
        <w:t xml:space="preserve"> </w:t>
      </w:r>
      <w:r>
        <w:rPr>
          <w:rFonts w:cs="Times New Roman"/>
          <w:w w:val="105"/>
          <w:sz w:val="24"/>
        </w:rPr>
        <w:t>la</w:t>
      </w:r>
      <w:r>
        <w:rPr>
          <w:rFonts w:cs="Times New Roman"/>
          <w:spacing w:val="40"/>
          <w:w w:val="105"/>
          <w:sz w:val="24"/>
        </w:rPr>
        <w:t xml:space="preserve"> </w:t>
      </w:r>
      <w:r>
        <w:rPr>
          <w:rFonts w:cs="Times New Roman"/>
          <w:w w:val="105"/>
          <w:sz w:val="24"/>
        </w:rPr>
        <w:t>medicamente</w:t>
      </w:r>
      <w:r>
        <w:rPr>
          <w:rFonts w:cs="Times New Roman"/>
          <w:spacing w:val="40"/>
          <w:w w:val="105"/>
          <w:sz w:val="24"/>
        </w:rPr>
        <w:t xml:space="preserve"> </w:t>
      </w:r>
      <w:r>
        <w:rPr>
          <w:rFonts w:cs="Times New Roman"/>
          <w:w w:val="105"/>
          <w:sz w:val="24"/>
        </w:rPr>
        <w:t>în</w:t>
      </w:r>
      <w:r>
        <w:rPr>
          <w:rFonts w:cs="Times New Roman"/>
          <w:spacing w:val="40"/>
          <w:w w:val="105"/>
          <w:sz w:val="24"/>
        </w:rPr>
        <w:t xml:space="preserve"> </w:t>
      </w:r>
      <w:r>
        <w:rPr>
          <w:rFonts w:cs="Times New Roman"/>
          <w:w w:val="105"/>
          <w:sz w:val="24"/>
        </w:rPr>
        <w:t>teritoriu,</w:t>
      </w:r>
      <w:r>
        <w:rPr>
          <w:rFonts w:cs="Times New Roman"/>
          <w:spacing w:val="40"/>
          <w:w w:val="105"/>
          <w:sz w:val="24"/>
        </w:rPr>
        <w:t xml:space="preserve"> </w:t>
      </w:r>
      <w:r>
        <w:rPr>
          <w:rFonts w:cs="Times New Roman"/>
          <w:w w:val="105"/>
          <w:sz w:val="24"/>
        </w:rPr>
        <w:t>ca</w:t>
      </w:r>
      <w:r>
        <w:rPr>
          <w:rFonts w:cs="Times New Roman"/>
          <w:spacing w:val="40"/>
          <w:w w:val="105"/>
          <w:sz w:val="24"/>
        </w:rPr>
        <w:t xml:space="preserve"> </w:t>
      </w:r>
      <w:r>
        <w:rPr>
          <w:rFonts w:cs="Times New Roman"/>
          <w:w w:val="105"/>
          <w:sz w:val="24"/>
        </w:rPr>
        <w:t>rezultat</w:t>
      </w:r>
      <w:r>
        <w:rPr>
          <w:rFonts w:cs="Times New Roman"/>
          <w:spacing w:val="40"/>
          <w:w w:val="105"/>
          <w:sz w:val="24"/>
        </w:rPr>
        <w:t xml:space="preserve"> </w:t>
      </w:r>
      <w:r>
        <w:rPr>
          <w:rFonts w:cs="Times New Roman"/>
          <w:w w:val="105"/>
          <w:sz w:val="24"/>
        </w:rPr>
        <w:t>al</w:t>
      </w:r>
      <w:r>
        <w:rPr>
          <w:rFonts w:cs="Times New Roman"/>
          <w:spacing w:val="40"/>
          <w:w w:val="105"/>
          <w:sz w:val="24"/>
        </w:rPr>
        <w:t xml:space="preserve"> </w:t>
      </w:r>
      <w:r>
        <w:rPr>
          <w:rFonts w:cs="Times New Roman"/>
          <w:w w:val="105"/>
          <w:sz w:val="24"/>
        </w:rPr>
        <w:t>consolidării</w:t>
      </w:r>
      <w:r>
        <w:rPr>
          <w:rFonts w:cs="Times New Roman"/>
          <w:spacing w:val="40"/>
          <w:w w:val="105"/>
          <w:sz w:val="24"/>
        </w:rPr>
        <w:t xml:space="preserve"> </w:t>
      </w:r>
      <w:r>
        <w:rPr>
          <w:rFonts w:cs="Times New Roman"/>
          <w:w w:val="105"/>
          <w:sz w:val="24"/>
        </w:rPr>
        <w:t>accesului echitabil</w:t>
      </w:r>
      <w:r>
        <w:rPr>
          <w:rFonts w:cs="Times New Roman"/>
          <w:spacing w:val="40"/>
          <w:w w:val="105"/>
          <w:sz w:val="24"/>
        </w:rPr>
        <w:t xml:space="preserve"> </w:t>
      </w:r>
      <w:r>
        <w:rPr>
          <w:rFonts w:cs="Times New Roman"/>
          <w:w w:val="105"/>
          <w:sz w:val="24"/>
        </w:rPr>
        <w:t>și</w:t>
      </w:r>
      <w:r>
        <w:rPr>
          <w:rFonts w:cs="Times New Roman"/>
          <w:spacing w:val="40"/>
          <w:w w:val="105"/>
          <w:sz w:val="24"/>
        </w:rPr>
        <w:t xml:space="preserve"> </w:t>
      </w:r>
      <w:r>
        <w:rPr>
          <w:rFonts w:cs="Times New Roman"/>
          <w:w w:val="105"/>
          <w:sz w:val="24"/>
        </w:rPr>
        <w:t>universal</w:t>
      </w:r>
      <w:r>
        <w:rPr>
          <w:rFonts w:cs="Times New Roman"/>
          <w:spacing w:val="40"/>
          <w:w w:val="105"/>
          <w:sz w:val="24"/>
        </w:rPr>
        <w:t xml:space="preserve"> </w:t>
      </w:r>
      <w:r>
        <w:rPr>
          <w:rFonts w:cs="Times New Roman"/>
          <w:w w:val="105"/>
          <w:sz w:val="24"/>
        </w:rPr>
        <w:t>la</w:t>
      </w:r>
      <w:r>
        <w:rPr>
          <w:rFonts w:cs="Times New Roman"/>
          <w:spacing w:val="40"/>
          <w:w w:val="105"/>
          <w:sz w:val="24"/>
        </w:rPr>
        <w:t xml:space="preserve"> </w:t>
      </w:r>
      <w:r>
        <w:rPr>
          <w:rFonts w:cs="Times New Roman"/>
          <w:w w:val="105"/>
          <w:sz w:val="24"/>
        </w:rPr>
        <w:t>servicii</w:t>
      </w:r>
      <w:r>
        <w:rPr>
          <w:rFonts w:cs="Times New Roman"/>
          <w:spacing w:val="40"/>
          <w:w w:val="105"/>
          <w:sz w:val="24"/>
        </w:rPr>
        <w:t xml:space="preserve"> </w:t>
      </w:r>
      <w:r>
        <w:rPr>
          <w:rFonts w:cs="Times New Roman"/>
          <w:w w:val="105"/>
          <w:sz w:val="24"/>
        </w:rPr>
        <w:t>de</w:t>
      </w:r>
      <w:r>
        <w:rPr>
          <w:rFonts w:cs="Times New Roman"/>
          <w:spacing w:val="40"/>
          <w:w w:val="105"/>
          <w:sz w:val="24"/>
        </w:rPr>
        <w:t xml:space="preserve"> </w:t>
      </w:r>
      <w:r>
        <w:rPr>
          <w:rFonts w:cs="Times New Roman"/>
          <w:w w:val="105"/>
          <w:sz w:val="24"/>
        </w:rPr>
        <w:t>prevenire,</w:t>
      </w:r>
      <w:r>
        <w:rPr>
          <w:rFonts w:cs="Times New Roman"/>
          <w:spacing w:val="40"/>
          <w:w w:val="105"/>
          <w:sz w:val="24"/>
        </w:rPr>
        <w:t xml:space="preserve"> </w:t>
      </w:r>
      <w:r>
        <w:rPr>
          <w:rFonts w:cs="Times New Roman"/>
          <w:w w:val="105"/>
          <w:sz w:val="24"/>
        </w:rPr>
        <w:t>depistare,</w:t>
      </w:r>
      <w:r>
        <w:rPr>
          <w:rFonts w:cs="Times New Roman"/>
          <w:spacing w:val="40"/>
          <w:w w:val="105"/>
          <w:sz w:val="24"/>
        </w:rPr>
        <w:t xml:space="preserve"> </w:t>
      </w:r>
      <w:r>
        <w:rPr>
          <w:rFonts w:cs="Times New Roman"/>
          <w:w w:val="105"/>
          <w:sz w:val="24"/>
        </w:rPr>
        <w:t>diagnostic,</w:t>
      </w:r>
      <w:r>
        <w:rPr>
          <w:rFonts w:cs="Times New Roman"/>
          <w:spacing w:val="40"/>
          <w:w w:val="105"/>
          <w:sz w:val="24"/>
        </w:rPr>
        <w:t xml:space="preserve"> </w:t>
      </w:r>
      <w:r>
        <w:rPr>
          <w:rFonts w:cs="Times New Roman"/>
          <w:w w:val="105"/>
          <w:sz w:val="24"/>
        </w:rPr>
        <w:t>tratament</w:t>
      </w:r>
      <w:r>
        <w:rPr>
          <w:rFonts w:cs="Times New Roman"/>
          <w:spacing w:val="40"/>
          <w:w w:val="105"/>
          <w:sz w:val="24"/>
        </w:rPr>
        <w:t xml:space="preserve"> </w:t>
      </w:r>
      <w:r>
        <w:rPr>
          <w:rFonts w:cs="Times New Roman"/>
          <w:w w:val="105"/>
          <w:sz w:val="24"/>
        </w:rPr>
        <w:t>și</w:t>
      </w:r>
      <w:r>
        <w:rPr>
          <w:rFonts w:cs="Times New Roman"/>
          <w:spacing w:val="40"/>
          <w:w w:val="105"/>
          <w:sz w:val="24"/>
        </w:rPr>
        <w:t xml:space="preserve"> </w:t>
      </w:r>
      <w:r>
        <w:rPr>
          <w:rFonts w:cs="Times New Roman"/>
          <w:w w:val="105"/>
          <w:sz w:val="24"/>
        </w:rPr>
        <w:t>suport centrat</w:t>
      </w:r>
      <w:r>
        <w:rPr>
          <w:rFonts w:cs="Times New Roman"/>
          <w:spacing w:val="40"/>
          <w:w w:val="105"/>
          <w:sz w:val="24"/>
        </w:rPr>
        <w:t xml:space="preserve"> </w:t>
      </w:r>
      <w:r>
        <w:rPr>
          <w:rFonts w:cs="Times New Roman"/>
          <w:w w:val="105"/>
          <w:sz w:val="24"/>
        </w:rPr>
        <w:t>pe</w:t>
      </w:r>
      <w:r>
        <w:rPr>
          <w:rFonts w:cs="Times New Roman"/>
          <w:spacing w:val="40"/>
          <w:w w:val="105"/>
          <w:sz w:val="24"/>
        </w:rPr>
        <w:t xml:space="preserve"> </w:t>
      </w:r>
      <w:r>
        <w:rPr>
          <w:rFonts w:cs="Times New Roman"/>
          <w:w w:val="105"/>
          <w:sz w:val="24"/>
        </w:rPr>
        <w:t>pacient.</w:t>
      </w:r>
    </w:p>
    <w:p w14:paraId="1BFA239B">
      <w:pPr>
        <w:tabs>
          <w:tab w:val="left" w:pos="567"/>
          <w:tab w:val="left" w:pos="709"/>
          <w:tab w:val="left" w:pos="1401"/>
        </w:tabs>
        <w:spacing w:line="273" w:lineRule="auto"/>
        <w:ind w:right="127" w:firstLine="567"/>
        <w:jc w:val="both"/>
        <w:rPr>
          <w:rFonts w:cs="Times New Roman"/>
          <w:spacing w:val="40"/>
          <w:w w:val="110"/>
          <w:sz w:val="24"/>
        </w:rPr>
      </w:pPr>
      <w:r>
        <w:rPr>
          <w:rFonts w:cs="Times New Roman"/>
          <w:spacing w:val="10"/>
          <w:w w:val="110"/>
          <w:sz w:val="24"/>
        </w:rPr>
        <w:t xml:space="preserve">24.  Obiectivul general </w:t>
      </w:r>
      <w:r>
        <w:rPr>
          <w:rFonts w:cs="Times New Roman"/>
          <w:w w:val="110"/>
          <w:sz w:val="24"/>
        </w:rPr>
        <w:t xml:space="preserve">al </w:t>
      </w:r>
      <w:r>
        <w:rPr>
          <w:rFonts w:cs="Times New Roman"/>
          <w:spacing w:val="10"/>
          <w:w w:val="110"/>
          <w:sz w:val="24"/>
        </w:rPr>
        <w:t xml:space="preserve">prezentului Programului </w:t>
      </w:r>
      <w:r>
        <w:rPr>
          <w:rFonts w:cs="Times New Roman"/>
          <w:w w:val="110"/>
          <w:sz w:val="24"/>
        </w:rPr>
        <w:t xml:space="preserve">este </w:t>
      </w:r>
      <w:r>
        <w:rPr>
          <w:rFonts w:cs="Times New Roman"/>
          <w:spacing w:val="10"/>
          <w:w w:val="110"/>
          <w:sz w:val="24"/>
        </w:rPr>
        <w:t xml:space="preserve">reducerea </w:t>
      </w:r>
      <w:r>
        <w:rPr>
          <w:rFonts w:cs="Times New Roman"/>
          <w:spacing w:val="12"/>
          <w:w w:val="110"/>
          <w:sz w:val="24"/>
        </w:rPr>
        <w:t xml:space="preserve">poverii </w:t>
      </w:r>
      <w:r>
        <w:rPr>
          <w:rFonts w:cs="Times New Roman"/>
          <w:w w:val="110"/>
          <w:sz w:val="24"/>
        </w:rPr>
        <w:t>tuberculozei pe teritoriul raionului Sîngerei până la sfârșitul anului 2030, în conformitate cu Strategia</w:t>
      </w:r>
      <w:r>
        <w:rPr>
          <w:rFonts w:cs="Times New Roman"/>
          <w:spacing w:val="40"/>
          <w:w w:val="110"/>
          <w:sz w:val="24"/>
        </w:rPr>
        <w:t xml:space="preserve"> </w:t>
      </w:r>
      <w:r>
        <w:rPr>
          <w:rFonts w:cs="Times New Roman"/>
          <w:w w:val="110"/>
          <w:sz w:val="24"/>
        </w:rPr>
        <w:t>națională</w:t>
      </w:r>
      <w:r>
        <w:rPr>
          <w:rFonts w:cs="Times New Roman"/>
          <w:spacing w:val="40"/>
          <w:w w:val="110"/>
          <w:sz w:val="24"/>
        </w:rPr>
        <w:t xml:space="preserve"> </w:t>
      </w:r>
      <w:r>
        <w:rPr>
          <w:rFonts w:cs="Times New Roman"/>
          <w:w w:val="110"/>
          <w:sz w:val="24"/>
        </w:rPr>
        <w:t>de</w:t>
      </w:r>
      <w:r>
        <w:rPr>
          <w:rFonts w:cs="Times New Roman"/>
          <w:spacing w:val="40"/>
          <w:w w:val="110"/>
          <w:sz w:val="24"/>
        </w:rPr>
        <w:t xml:space="preserve"> </w:t>
      </w:r>
      <w:r>
        <w:rPr>
          <w:rFonts w:cs="Times New Roman"/>
          <w:w w:val="110"/>
          <w:sz w:val="24"/>
        </w:rPr>
        <w:t>sănătate</w:t>
      </w:r>
      <w:r>
        <w:rPr>
          <w:rFonts w:cs="Times New Roman"/>
          <w:spacing w:val="40"/>
          <w:w w:val="110"/>
          <w:sz w:val="24"/>
        </w:rPr>
        <w:t xml:space="preserve"> </w:t>
      </w:r>
      <w:r>
        <w:rPr>
          <w:rFonts w:cs="Times New Roman"/>
          <w:w w:val="110"/>
          <w:sz w:val="24"/>
        </w:rPr>
        <w:t>„Sănătatea</w:t>
      </w:r>
      <w:r>
        <w:rPr>
          <w:rFonts w:cs="Times New Roman"/>
          <w:spacing w:val="40"/>
          <w:w w:val="110"/>
          <w:sz w:val="24"/>
        </w:rPr>
        <w:t xml:space="preserve"> </w:t>
      </w:r>
      <w:r>
        <w:rPr>
          <w:rFonts w:cs="Times New Roman"/>
          <w:w w:val="110"/>
          <w:sz w:val="24"/>
        </w:rPr>
        <w:t>2030”</w:t>
      </w:r>
      <w:r>
        <w:rPr>
          <w:rFonts w:cs="Times New Roman"/>
          <w:spacing w:val="40"/>
          <w:w w:val="110"/>
          <w:sz w:val="24"/>
        </w:rPr>
        <w:t>.</w:t>
      </w:r>
    </w:p>
    <w:p w14:paraId="22665457">
      <w:pPr>
        <w:tabs>
          <w:tab w:val="left" w:pos="567"/>
          <w:tab w:val="left" w:pos="709"/>
          <w:tab w:val="left" w:pos="1401"/>
        </w:tabs>
        <w:spacing w:line="273" w:lineRule="auto"/>
        <w:ind w:right="127" w:firstLine="567"/>
        <w:jc w:val="both"/>
        <w:rPr>
          <w:rFonts w:cs="Times New Roman"/>
          <w:b/>
          <w:sz w:val="24"/>
        </w:rPr>
      </w:pPr>
    </w:p>
    <w:p w14:paraId="6634C527">
      <w:pPr>
        <w:pStyle w:val="2"/>
        <w:tabs>
          <w:tab w:val="left" w:pos="567"/>
          <w:tab w:val="left" w:pos="709"/>
          <w:tab w:val="left" w:pos="3883"/>
        </w:tabs>
        <w:ind w:left="0"/>
        <w:jc w:val="both"/>
        <w:rPr>
          <w:rFonts w:cs="Times New Roman"/>
        </w:rPr>
      </w:pPr>
      <w:r>
        <w:rPr>
          <w:rFonts w:cs="Times New Roman"/>
          <w:w w:val="115"/>
          <w:sz w:val="22"/>
        </w:rPr>
        <w:t>IV.  OBIECTIVELE</w:t>
      </w:r>
      <w:r>
        <w:rPr>
          <w:rFonts w:cs="Times New Roman"/>
          <w:spacing w:val="14"/>
          <w:w w:val="115"/>
          <w:sz w:val="22"/>
        </w:rPr>
        <w:t xml:space="preserve"> </w:t>
      </w:r>
      <w:r>
        <w:rPr>
          <w:rFonts w:cs="Times New Roman"/>
          <w:spacing w:val="-2"/>
          <w:w w:val="115"/>
          <w:sz w:val="22"/>
        </w:rPr>
        <w:t>SPECIFICE</w:t>
      </w:r>
    </w:p>
    <w:p w14:paraId="117C4CD3">
      <w:pPr>
        <w:tabs>
          <w:tab w:val="left" w:pos="567"/>
          <w:tab w:val="left" w:pos="709"/>
        </w:tabs>
        <w:jc w:val="both"/>
        <w:rPr>
          <w:rFonts w:cs="Times New Roman"/>
        </w:rPr>
      </w:pPr>
    </w:p>
    <w:p w14:paraId="689C0474">
      <w:pPr>
        <w:tabs>
          <w:tab w:val="left" w:pos="567"/>
          <w:tab w:val="left" w:pos="709"/>
          <w:tab w:val="left" w:pos="1235"/>
        </w:tabs>
        <w:spacing w:line="271" w:lineRule="auto"/>
        <w:ind w:right="136" w:firstLine="567"/>
        <w:jc w:val="both"/>
        <w:rPr>
          <w:rFonts w:cs="Times New Roman"/>
          <w:sz w:val="24"/>
        </w:rPr>
      </w:pPr>
      <w:r>
        <w:rPr>
          <w:rFonts w:cs="Times New Roman"/>
          <w:b/>
          <w:w w:val="110"/>
          <w:sz w:val="24"/>
        </w:rPr>
        <w:t xml:space="preserve">25. Obiectivul specific 1. </w:t>
      </w:r>
      <w:r>
        <w:rPr>
          <w:rFonts w:cs="Times New Roman"/>
          <w:w w:val="110"/>
          <w:sz w:val="24"/>
        </w:rPr>
        <w:t>Asigurarea screeningului sistematic pentru tuberculoza activă în rândul persoanelor din grupurile cu risc sporit, inclusiv contactele cu bolnavii de tuberculoză și cu persoanele vulnerabile..</w:t>
      </w:r>
    </w:p>
    <w:p w14:paraId="4463D31F">
      <w:pPr>
        <w:tabs>
          <w:tab w:val="left" w:pos="567"/>
          <w:tab w:val="left" w:pos="709"/>
          <w:tab w:val="left" w:pos="1306"/>
        </w:tabs>
        <w:spacing w:line="271" w:lineRule="auto"/>
        <w:ind w:right="134" w:firstLine="567"/>
        <w:jc w:val="both"/>
        <w:rPr>
          <w:rFonts w:cs="Times New Roman"/>
          <w:sz w:val="24"/>
        </w:rPr>
      </w:pPr>
      <w:r>
        <w:rPr>
          <w:rFonts w:cs="Times New Roman"/>
          <w:b/>
          <w:w w:val="110"/>
          <w:sz w:val="24"/>
        </w:rPr>
        <w:t xml:space="preserve">26.  Obiectivul specific 2. </w:t>
      </w:r>
      <w:r>
        <w:rPr>
          <w:rFonts w:cs="Times New Roman"/>
          <w:w w:val="110"/>
          <w:sz w:val="24"/>
        </w:rPr>
        <w:t xml:space="preserve">Asigurarea diagnosticului precoce al tuturor formelor de tuberculoză și accesul universal la testarea sensibilității la medicamente, cu identificarea a cel puțin 75% dintre cazurile estimate de </w:t>
      </w:r>
      <w:r>
        <w:rPr>
          <w:rFonts w:cs="Times New Roman"/>
          <w:spacing w:val="9"/>
          <w:w w:val="110"/>
          <w:sz w:val="24"/>
        </w:rPr>
        <w:t xml:space="preserve">tuberculoză </w:t>
      </w:r>
      <w:r>
        <w:rPr>
          <w:rFonts w:cs="Times New Roman"/>
          <w:w w:val="110"/>
          <w:sz w:val="24"/>
        </w:rPr>
        <w:t>MDR.</w:t>
      </w:r>
    </w:p>
    <w:p w14:paraId="44A72534">
      <w:pPr>
        <w:tabs>
          <w:tab w:val="left" w:pos="567"/>
          <w:tab w:val="left" w:pos="709"/>
          <w:tab w:val="left" w:pos="1310"/>
        </w:tabs>
        <w:spacing w:line="271" w:lineRule="auto"/>
        <w:ind w:right="137" w:firstLine="567"/>
        <w:jc w:val="both"/>
        <w:rPr>
          <w:rFonts w:cs="Times New Roman"/>
          <w:sz w:val="24"/>
        </w:rPr>
      </w:pPr>
      <w:r>
        <w:rPr>
          <w:rFonts w:cs="Times New Roman"/>
          <w:b/>
          <w:w w:val="110"/>
          <w:sz w:val="24"/>
        </w:rPr>
        <w:t xml:space="preserve">27.  Obiectivul specific 3. </w:t>
      </w:r>
      <w:r>
        <w:rPr>
          <w:rFonts w:cs="Times New Roman"/>
          <w:w w:val="110"/>
          <w:sz w:val="24"/>
        </w:rPr>
        <w:t>Asigurarea accesului echitabil la tratament și servicii de calitate pentru toate persoanele diagnosticate cu tuberculoză, inclusiv cu tuberculoză MDR cu o rată de succes a tratamentului de cel puțin 85%.</w:t>
      </w:r>
    </w:p>
    <w:p w14:paraId="5B4B06AB">
      <w:pPr>
        <w:tabs>
          <w:tab w:val="left" w:pos="567"/>
          <w:tab w:val="left" w:pos="709"/>
          <w:tab w:val="left" w:pos="1337"/>
        </w:tabs>
        <w:spacing w:line="271" w:lineRule="auto"/>
        <w:ind w:right="133" w:firstLine="567"/>
        <w:jc w:val="both"/>
        <w:rPr>
          <w:rFonts w:cs="Times New Roman"/>
          <w:sz w:val="24"/>
        </w:rPr>
      </w:pPr>
      <w:r>
        <w:rPr>
          <w:rFonts w:cs="Times New Roman"/>
          <w:b/>
          <w:w w:val="110"/>
          <w:sz w:val="24"/>
        </w:rPr>
        <w:t xml:space="preserve">28.  Obiectivul specific 4. </w:t>
      </w:r>
      <w:r>
        <w:rPr>
          <w:rFonts w:cs="Times New Roman"/>
          <w:w w:val="110"/>
          <w:sz w:val="24"/>
        </w:rPr>
        <w:t>Asigurarea accesului universal și echitabil la servicii medicale integrate, centrate pe persoanele afectate, prin colaborarea cu alte programe naționale de sănătate publică.</w:t>
      </w:r>
    </w:p>
    <w:p w14:paraId="684BB299">
      <w:pPr>
        <w:tabs>
          <w:tab w:val="left" w:pos="567"/>
          <w:tab w:val="left" w:pos="709"/>
          <w:tab w:val="left" w:pos="1309"/>
        </w:tabs>
        <w:spacing w:line="271" w:lineRule="auto"/>
        <w:ind w:right="132" w:firstLine="567"/>
        <w:jc w:val="both"/>
        <w:rPr>
          <w:rFonts w:cs="Times New Roman"/>
          <w:sz w:val="24"/>
        </w:rPr>
      </w:pPr>
      <w:r>
        <w:rPr>
          <w:rFonts w:cs="Times New Roman"/>
          <w:b/>
          <w:w w:val="110"/>
          <w:sz w:val="24"/>
        </w:rPr>
        <w:t xml:space="preserve">29.  Obiectivul specific 5. </w:t>
      </w:r>
      <w:r>
        <w:rPr>
          <w:rFonts w:cs="Times New Roman"/>
          <w:w w:val="110"/>
          <w:sz w:val="24"/>
        </w:rPr>
        <w:t>Prevenirea tuberculozei prin vaccinarea BCG a cel puțin 95% dintre nou-născuți.</w:t>
      </w:r>
    </w:p>
    <w:p w14:paraId="3B0F87AD">
      <w:pPr>
        <w:tabs>
          <w:tab w:val="left" w:pos="567"/>
          <w:tab w:val="left" w:pos="709"/>
        </w:tabs>
        <w:ind w:firstLine="567"/>
        <w:jc w:val="both"/>
        <w:rPr>
          <w:rFonts w:cs="Times New Roman"/>
        </w:rPr>
      </w:pPr>
      <w:r>
        <w:rPr>
          <w:rFonts w:cs="Times New Roman"/>
        </w:rPr>
        <w:t xml:space="preserve">30. </w:t>
      </w:r>
      <w:r>
        <w:rPr>
          <w:rFonts w:cs="Times New Roman"/>
          <w:b/>
          <w:bCs/>
          <w:sz w:val="24"/>
          <w:szCs w:val="24"/>
        </w:rPr>
        <w:t>Obiectivul specific 6.</w:t>
      </w:r>
      <w:r>
        <w:rPr>
          <w:rFonts w:cs="Times New Roman"/>
        </w:rPr>
        <w:t xml:space="preserve"> </w:t>
      </w:r>
      <w:r>
        <w:rPr>
          <w:rFonts w:cs="Times New Roman"/>
          <w:sz w:val="24"/>
          <w:szCs w:val="24"/>
        </w:rPr>
        <w:t>Consolidarea capacității teritoriale de răspuns la tuberculoză prin asigurarea Serviciului Serviciul ftiziopneumologiec raional cu spații adecvate desfășurării activității, echipament medical modern, inclusiv aparat radiologic digital performant, resurse umane instruite și mecanisme funcționale de colaborare intersectorială și monitorizare</w:t>
      </w:r>
      <w:r>
        <w:rPr>
          <w:rFonts w:cs="Times New Roman"/>
        </w:rPr>
        <w:t>.</w:t>
      </w:r>
    </w:p>
    <w:p w14:paraId="48694819">
      <w:pPr>
        <w:tabs>
          <w:tab w:val="left" w:pos="567"/>
          <w:tab w:val="left" w:pos="709"/>
        </w:tabs>
        <w:ind w:firstLine="567"/>
        <w:jc w:val="both"/>
        <w:rPr>
          <w:rFonts w:cs="Times New Roman"/>
        </w:rPr>
      </w:pPr>
    </w:p>
    <w:p w14:paraId="5DD4C77F">
      <w:pPr>
        <w:pStyle w:val="2"/>
        <w:tabs>
          <w:tab w:val="left" w:pos="567"/>
          <w:tab w:val="left" w:pos="709"/>
          <w:tab w:val="left" w:pos="4782"/>
        </w:tabs>
        <w:ind w:left="0"/>
        <w:jc w:val="both"/>
        <w:rPr>
          <w:rFonts w:cs="Times New Roman"/>
        </w:rPr>
      </w:pPr>
      <w:r>
        <w:rPr>
          <w:rFonts w:cs="Times New Roman"/>
          <w:spacing w:val="-2"/>
          <w:w w:val="115"/>
          <w:sz w:val="22"/>
        </w:rPr>
        <w:t>V.  IMPACTUL</w:t>
      </w:r>
    </w:p>
    <w:p w14:paraId="46F63033">
      <w:pPr>
        <w:pStyle w:val="10"/>
        <w:tabs>
          <w:tab w:val="left" w:pos="567"/>
          <w:tab w:val="left" w:pos="709"/>
        </w:tabs>
        <w:jc w:val="both"/>
        <w:rPr>
          <w:rFonts w:cs="Times New Roman"/>
          <w:b/>
        </w:rPr>
      </w:pPr>
    </w:p>
    <w:p w14:paraId="6DA3DEEE">
      <w:pPr>
        <w:tabs>
          <w:tab w:val="left" w:pos="0"/>
          <w:tab w:val="left" w:pos="567"/>
          <w:tab w:val="left" w:pos="709"/>
        </w:tabs>
        <w:spacing w:line="271" w:lineRule="auto"/>
        <w:ind w:right="134" w:firstLine="567"/>
        <w:jc w:val="both"/>
        <w:rPr>
          <w:rFonts w:cs="Times New Roman"/>
          <w:sz w:val="24"/>
        </w:rPr>
      </w:pPr>
      <w:r>
        <w:rPr>
          <w:rFonts w:cs="Times New Roman"/>
          <w:w w:val="105"/>
          <w:sz w:val="24"/>
        </w:rPr>
        <w:t>30.  Prezentul Program urmărește realizarea unui impact durabil asupra sănătății populației și a sistemului de sănătate în Republica Moldova, prin reducerea substanțială a poverii tuberculozei sensibile și rezistente la medicamente, prin diminuarea mortalității și a suferinței asociate bolii, precum și prin reducerea impactului socioeconomic generat de tuberculoză. Prezentul Program contribuie la creșterea echității în accesul la servicii de prevenire, diagnostic și tratament, precum și la îmbunătățirea performanței și a rezilienței sistemului de sănătate în controlul tuberculozei, în conformitate cu Strategia națională de sănătate</w:t>
      </w:r>
      <w:r>
        <w:rPr>
          <w:rFonts w:cs="Times New Roman"/>
          <w:spacing w:val="40"/>
          <w:w w:val="105"/>
          <w:sz w:val="24"/>
        </w:rPr>
        <w:t xml:space="preserve"> </w:t>
      </w:r>
      <w:r>
        <w:rPr>
          <w:rFonts w:cs="Times New Roman"/>
          <w:w w:val="105"/>
          <w:sz w:val="24"/>
        </w:rPr>
        <w:t>„Sănătatea</w:t>
      </w:r>
      <w:r>
        <w:rPr>
          <w:rFonts w:cs="Times New Roman"/>
          <w:spacing w:val="40"/>
          <w:w w:val="105"/>
          <w:sz w:val="24"/>
        </w:rPr>
        <w:t xml:space="preserve"> </w:t>
      </w:r>
      <w:r>
        <w:rPr>
          <w:rFonts w:cs="Times New Roman"/>
          <w:w w:val="105"/>
          <w:sz w:val="24"/>
        </w:rPr>
        <w:t>2030”</w:t>
      </w:r>
      <w:r>
        <w:rPr>
          <w:rFonts w:cs="Times New Roman"/>
          <w:spacing w:val="40"/>
          <w:w w:val="105"/>
          <w:sz w:val="24"/>
        </w:rPr>
        <w:t>.</w:t>
      </w:r>
    </w:p>
    <w:p w14:paraId="42AC3876">
      <w:pPr>
        <w:tabs>
          <w:tab w:val="left" w:pos="567"/>
          <w:tab w:val="left" w:pos="709"/>
          <w:tab w:val="left" w:pos="1305"/>
        </w:tabs>
        <w:spacing w:line="271" w:lineRule="auto"/>
        <w:ind w:right="130" w:firstLine="567"/>
        <w:jc w:val="both"/>
        <w:rPr>
          <w:rFonts w:cs="Times New Roman"/>
          <w:sz w:val="24"/>
        </w:rPr>
      </w:pPr>
      <w:r>
        <w:rPr>
          <w:rFonts w:cs="Times New Roman"/>
          <w:w w:val="105"/>
          <w:sz w:val="24"/>
        </w:rPr>
        <w:t>31.  Programul teritorial reflectă schimbările preconizate a fi atinse până la sfârșitul anului 2030 cu implementarea  a măsurilor de prevenire, de depistare precoce, de diagnostic, de tratament și de îngrijire centrată pe persoană.</w:t>
      </w:r>
    </w:p>
    <w:p w14:paraId="63FEE533">
      <w:pPr>
        <w:tabs>
          <w:tab w:val="left" w:pos="567"/>
          <w:tab w:val="left" w:pos="709"/>
          <w:tab w:val="left" w:pos="1327"/>
        </w:tabs>
        <w:spacing w:line="271" w:lineRule="auto"/>
        <w:ind w:right="129" w:firstLine="567"/>
        <w:jc w:val="both"/>
        <w:rPr>
          <w:rFonts w:cs="Times New Roman"/>
          <w:sz w:val="24"/>
        </w:rPr>
      </w:pPr>
      <w:r>
        <w:rPr>
          <w:rFonts w:cs="Times New Roman"/>
          <w:w w:val="105"/>
          <w:sz w:val="24"/>
        </w:rPr>
        <w:t>32.  Implementarea prezentului Program până în anul 2030 va genera următoarele schimbări</w:t>
      </w:r>
      <w:r>
        <w:rPr>
          <w:rFonts w:cs="Times New Roman"/>
          <w:spacing w:val="40"/>
          <w:w w:val="105"/>
          <w:sz w:val="24"/>
        </w:rPr>
        <w:t xml:space="preserve"> </w:t>
      </w:r>
      <w:r>
        <w:rPr>
          <w:rFonts w:cs="Times New Roman"/>
          <w:w w:val="105"/>
          <w:sz w:val="24"/>
        </w:rPr>
        <w:t>de</w:t>
      </w:r>
      <w:r>
        <w:rPr>
          <w:rFonts w:cs="Times New Roman"/>
          <w:spacing w:val="40"/>
          <w:w w:val="105"/>
          <w:sz w:val="24"/>
        </w:rPr>
        <w:t xml:space="preserve"> </w:t>
      </w:r>
      <w:r>
        <w:rPr>
          <w:rFonts w:cs="Times New Roman"/>
          <w:w w:val="105"/>
          <w:sz w:val="24"/>
        </w:rPr>
        <w:t>impact,</w:t>
      </w:r>
      <w:r>
        <w:rPr>
          <w:rFonts w:cs="Times New Roman"/>
          <w:spacing w:val="40"/>
          <w:w w:val="105"/>
          <w:sz w:val="24"/>
        </w:rPr>
        <w:t xml:space="preserve"> </w:t>
      </w:r>
      <w:r>
        <w:rPr>
          <w:rFonts w:cs="Times New Roman"/>
          <w:w w:val="105"/>
          <w:sz w:val="24"/>
        </w:rPr>
        <w:t>măsurate</w:t>
      </w:r>
      <w:r>
        <w:rPr>
          <w:rFonts w:cs="Times New Roman"/>
          <w:spacing w:val="40"/>
          <w:w w:val="105"/>
          <w:sz w:val="24"/>
        </w:rPr>
        <w:t xml:space="preserve"> </w:t>
      </w:r>
      <w:r>
        <w:rPr>
          <w:rFonts w:cs="Times New Roman"/>
          <w:w w:val="105"/>
          <w:sz w:val="24"/>
        </w:rPr>
        <w:t>prin</w:t>
      </w:r>
      <w:r>
        <w:rPr>
          <w:rFonts w:cs="Times New Roman"/>
          <w:spacing w:val="40"/>
          <w:w w:val="105"/>
          <w:sz w:val="24"/>
        </w:rPr>
        <w:t xml:space="preserve"> </w:t>
      </w:r>
      <w:r>
        <w:rPr>
          <w:rFonts w:cs="Times New Roman"/>
          <w:w w:val="105"/>
          <w:sz w:val="24"/>
        </w:rPr>
        <w:t>indicatori</w:t>
      </w:r>
      <w:r>
        <w:rPr>
          <w:rFonts w:cs="Times New Roman"/>
          <w:spacing w:val="40"/>
          <w:w w:val="105"/>
          <w:sz w:val="24"/>
        </w:rPr>
        <w:t xml:space="preserve"> </w:t>
      </w:r>
      <w:r>
        <w:rPr>
          <w:rFonts w:cs="Times New Roman"/>
          <w:w w:val="105"/>
          <w:sz w:val="24"/>
        </w:rPr>
        <w:t>cantitativi</w:t>
      </w:r>
      <w:r>
        <w:rPr>
          <w:rFonts w:cs="Times New Roman"/>
          <w:spacing w:val="40"/>
          <w:w w:val="105"/>
          <w:sz w:val="24"/>
        </w:rPr>
        <w:t xml:space="preserve"> </w:t>
      </w:r>
      <w:r>
        <w:rPr>
          <w:rFonts w:cs="Times New Roman"/>
          <w:w w:val="105"/>
          <w:sz w:val="24"/>
        </w:rPr>
        <w:t>și</w:t>
      </w:r>
      <w:r>
        <w:rPr>
          <w:rFonts w:cs="Times New Roman"/>
          <w:spacing w:val="40"/>
          <w:w w:val="105"/>
          <w:sz w:val="24"/>
        </w:rPr>
        <w:t xml:space="preserve"> </w:t>
      </w:r>
      <w:r>
        <w:rPr>
          <w:rFonts w:cs="Times New Roman"/>
          <w:w w:val="105"/>
          <w:sz w:val="24"/>
        </w:rPr>
        <w:t>calitativi:</w:t>
      </w:r>
    </w:p>
    <w:p w14:paraId="0D646D6E">
      <w:pPr>
        <w:tabs>
          <w:tab w:val="left" w:pos="567"/>
          <w:tab w:val="left" w:pos="709"/>
          <w:tab w:val="left" w:pos="1510"/>
        </w:tabs>
        <w:ind w:firstLine="567"/>
        <w:jc w:val="both"/>
        <w:rPr>
          <w:rFonts w:cs="Times New Roman"/>
          <w:sz w:val="24"/>
        </w:rPr>
      </w:pPr>
      <w:r>
        <w:rPr>
          <w:rFonts w:cs="Times New Roman"/>
          <w:w w:val="105"/>
          <w:sz w:val="24"/>
        </w:rPr>
        <w:t>33. reducerea</w:t>
      </w:r>
      <w:r>
        <w:rPr>
          <w:rFonts w:cs="Times New Roman"/>
          <w:spacing w:val="71"/>
          <w:w w:val="105"/>
          <w:sz w:val="24"/>
        </w:rPr>
        <w:t xml:space="preserve"> </w:t>
      </w:r>
      <w:r>
        <w:rPr>
          <w:rFonts w:cs="Times New Roman"/>
          <w:w w:val="105"/>
          <w:sz w:val="24"/>
        </w:rPr>
        <w:t>poverii</w:t>
      </w:r>
      <w:r>
        <w:rPr>
          <w:rFonts w:cs="Times New Roman"/>
          <w:spacing w:val="71"/>
          <w:w w:val="105"/>
          <w:sz w:val="24"/>
        </w:rPr>
        <w:t xml:space="preserve"> </w:t>
      </w:r>
      <w:r>
        <w:rPr>
          <w:rFonts w:cs="Times New Roman"/>
          <w:w w:val="105"/>
          <w:sz w:val="24"/>
        </w:rPr>
        <w:t>epidemiologice</w:t>
      </w:r>
      <w:r>
        <w:rPr>
          <w:rFonts w:cs="Times New Roman"/>
          <w:spacing w:val="71"/>
          <w:w w:val="105"/>
          <w:sz w:val="24"/>
        </w:rPr>
        <w:t xml:space="preserve"> </w:t>
      </w:r>
      <w:r>
        <w:rPr>
          <w:rFonts w:cs="Times New Roman"/>
          <w:w w:val="105"/>
          <w:sz w:val="24"/>
        </w:rPr>
        <w:t>a</w:t>
      </w:r>
      <w:r>
        <w:rPr>
          <w:rFonts w:cs="Times New Roman"/>
          <w:spacing w:val="71"/>
          <w:w w:val="105"/>
          <w:sz w:val="24"/>
        </w:rPr>
        <w:t xml:space="preserve"> </w:t>
      </w:r>
      <w:r>
        <w:rPr>
          <w:rFonts w:cs="Times New Roman"/>
          <w:w w:val="105"/>
          <w:sz w:val="24"/>
        </w:rPr>
        <w:t>tuberculozei</w:t>
      </w:r>
      <w:r>
        <w:rPr>
          <w:rFonts w:cs="Times New Roman"/>
          <w:spacing w:val="71"/>
          <w:w w:val="105"/>
          <w:sz w:val="24"/>
        </w:rPr>
        <w:t xml:space="preserve"> </w:t>
      </w:r>
      <w:r>
        <w:rPr>
          <w:rFonts w:cs="Times New Roman"/>
          <w:w w:val="105"/>
          <w:sz w:val="24"/>
        </w:rPr>
        <w:t>la</w:t>
      </w:r>
      <w:r>
        <w:rPr>
          <w:rFonts w:cs="Times New Roman"/>
          <w:spacing w:val="71"/>
          <w:w w:val="105"/>
          <w:sz w:val="24"/>
        </w:rPr>
        <w:t xml:space="preserve"> </w:t>
      </w:r>
      <w:r>
        <w:rPr>
          <w:rFonts w:cs="Times New Roman"/>
          <w:w w:val="105"/>
          <w:sz w:val="24"/>
        </w:rPr>
        <w:t>nivel</w:t>
      </w:r>
      <w:r>
        <w:rPr>
          <w:rFonts w:cs="Times New Roman"/>
          <w:spacing w:val="71"/>
          <w:w w:val="105"/>
          <w:sz w:val="24"/>
        </w:rPr>
        <w:t xml:space="preserve"> </w:t>
      </w:r>
      <w:r>
        <w:rPr>
          <w:rFonts w:cs="Times New Roman"/>
          <w:w w:val="105"/>
          <w:sz w:val="24"/>
        </w:rPr>
        <w:t>raional,</w:t>
      </w:r>
      <w:r>
        <w:rPr>
          <w:rFonts w:cs="Times New Roman"/>
          <w:spacing w:val="71"/>
          <w:w w:val="105"/>
          <w:sz w:val="24"/>
        </w:rPr>
        <w:t xml:space="preserve"> </w:t>
      </w:r>
      <w:r>
        <w:rPr>
          <w:rFonts w:cs="Times New Roman"/>
          <w:spacing w:val="-2"/>
          <w:w w:val="105"/>
          <w:sz w:val="24"/>
        </w:rPr>
        <w:t xml:space="preserve">exprimată </w:t>
      </w:r>
      <w:r>
        <w:rPr>
          <w:rFonts w:cs="Times New Roman"/>
          <w:spacing w:val="-2"/>
          <w:w w:val="105"/>
        </w:rPr>
        <w:t>prin:</w:t>
      </w:r>
    </w:p>
    <w:p w14:paraId="60C6D34D">
      <w:pPr>
        <w:tabs>
          <w:tab w:val="left" w:pos="567"/>
          <w:tab w:val="left" w:pos="709"/>
          <w:tab w:val="left" w:pos="1760"/>
        </w:tabs>
        <w:spacing w:line="271" w:lineRule="auto"/>
        <w:ind w:right="130" w:firstLine="567"/>
        <w:jc w:val="both"/>
        <w:rPr>
          <w:rFonts w:cs="Times New Roman"/>
          <w:sz w:val="24"/>
        </w:rPr>
      </w:pPr>
      <w:r>
        <w:rPr>
          <w:rFonts w:cs="Times New Roman"/>
          <w:w w:val="105"/>
          <w:sz w:val="24"/>
        </w:rPr>
        <w:t>33.1. reducerea</w:t>
      </w:r>
      <w:r>
        <w:rPr>
          <w:rFonts w:cs="Times New Roman"/>
          <w:spacing w:val="80"/>
          <w:w w:val="105"/>
          <w:sz w:val="24"/>
        </w:rPr>
        <w:t xml:space="preserve"> </w:t>
      </w:r>
      <w:r>
        <w:rPr>
          <w:rFonts w:cs="Times New Roman"/>
          <w:w w:val="105"/>
          <w:sz w:val="24"/>
        </w:rPr>
        <w:t>incidenței</w:t>
      </w:r>
      <w:r>
        <w:rPr>
          <w:rFonts w:cs="Times New Roman"/>
          <w:spacing w:val="80"/>
          <w:w w:val="105"/>
          <w:sz w:val="24"/>
        </w:rPr>
        <w:t xml:space="preserve"> </w:t>
      </w:r>
      <w:r>
        <w:rPr>
          <w:rFonts w:cs="Times New Roman"/>
          <w:w w:val="105"/>
          <w:sz w:val="24"/>
        </w:rPr>
        <w:t>tuberculozei;</w:t>
      </w:r>
    </w:p>
    <w:p w14:paraId="46A50F9B">
      <w:pPr>
        <w:tabs>
          <w:tab w:val="left" w:pos="567"/>
          <w:tab w:val="left" w:pos="709"/>
          <w:tab w:val="left" w:pos="1739"/>
        </w:tabs>
        <w:spacing w:line="271" w:lineRule="auto"/>
        <w:ind w:right="136" w:firstLine="567"/>
        <w:jc w:val="both"/>
        <w:rPr>
          <w:rFonts w:cs="Times New Roman"/>
          <w:sz w:val="24"/>
        </w:rPr>
      </w:pPr>
      <w:r>
        <w:rPr>
          <w:rFonts w:cs="Times New Roman"/>
          <w:w w:val="105"/>
          <w:sz w:val="24"/>
        </w:rPr>
        <w:t>33.2.reducerea</w:t>
      </w:r>
      <w:r>
        <w:rPr>
          <w:rFonts w:cs="Times New Roman"/>
          <w:spacing w:val="77"/>
          <w:w w:val="105"/>
          <w:sz w:val="24"/>
        </w:rPr>
        <w:t xml:space="preserve"> </w:t>
      </w:r>
      <w:r>
        <w:rPr>
          <w:rFonts w:cs="Times New Roman"/>
          <w:w w:val="105"/>
          <w:sz w:val="24"/>
        </w:rPr>
        <w:t>mortalității</w:t>
      </w:r>
      <w:r>
        <w:rPr>
          <w:rFonts w:cs="Times New Roman"/>
          <w:spacing w:val="77"/>
          <w:w w:val="105"/>
          <w:sz w:val="24"/>
        </w:rPr>
        <w:t xml:space="preserve"> </w:t>
      </w:r>
      <w:r>
        <w:rPr>
          <w:rFonts w:cs="Times New Roman"/>
          <w:w w:val="105"/>
          <w:sz w:val="24"/>
        </w:rPr>
        <w:t>prin</w:t>
      </w:r>
      <w:r>
        <w:rPr>
          <w:rFonts w:cs="Times New Roman"/>
          <w:spacing w:val="77"/>
          <w:w w:val="105"/>
          <w:sz w:val="24"/>
        </w:rPr>
        <w:t xml:space="preserve"> </w:t>
      </w:r>
      <w:r>
        <w:rPr>
          <w:rFonts w:cs="Times New Roman"/>
          <w:w w:val="105"/>
          <w:sz w:val="24"/>
        </w:rPr>
        <w:t>tuberculoză;</w:t>
      </w:r>
    </w:p>
    <w:p w14:paraId="455496F5">
      <w:pPr>
        <w:tabs>
          <w:tab w:val="left" w:pos="567"/>
          <w:tab w:val="left" w:pos="709"/>
          <w:tab w:val="left" w:pos="1756"/>
        </w:tabs>
        <w:spacing w:line="271" w:lineRule="auto"/>
        <w:ind w:right="134" w:firstLine="567"/>
        <w:jc w:val="both"/>
        <w:rPr>
          <w:rFonts w:cs="Times New Roman"/>
          <w:sz w:val="24"/>
        </w:rPr>
      </w:pPr>
      <w:r>
        <w:rPr>
          <w:rFonts w:cs="Times New Roman"/>
          <w:w w:val="105"/>
          <w:sz w:val="24"/>
        </w:rPr>
        <w:t>33.3. reducerea</w:t>
      </w:r>
      <w:r>
        <w:rPr>
          <w:rFonts w:cs="Times New Roman"/>
          <w:spacing w:val="80"/>
          <w:w w:val="105"/>
          <w:sz w:val="24"/>
        </w:rPr>
        <w:t xml:space="preserve"> </w:t>
      </w:r>
      <w:r>
        <w:rPr>
          <w:rFonts w:cs="Times New Roman"/>
          <w:w w:val="105"/>
          <w:sz w:val="24"/>
        </w:rPr>
        <w:t>ratei</w:t>
      </w:r>
      <w:r>
        <w:rPr>
          <w:rFonts w:cs="Times New Roman"/>
          <w:spacing w:val="80"/>
          <w:w w:val="105"/>
          <w:sz w:val="24"/>
        </w:rPr>
        <w:t xml:space="preserve"> </w:t>
      </w:r>
      <w:r>
        <w:rPr>
          <w:rFonts w:cs="Times New Roman"/>
          <w:w w:val="105"/>
          <w:sz w:val="24"/>
        </w:rPr>
        <w:t>de</w:t>
      </w:r>
      <w:r>
        <w:rPr>
          <w:rFonts w:cs="Times New Roman"/>
          <w:spacing w:val="80"/>
          <w:w w:val="105"/>
          <w:sz w:val="24"/>
        </w:rPr>
        <w:t xml:space="preserve"> </w:t>
      </w:r>
      <w:r>
        <w:rPr>
          <w:rFonts w:cs="Times New Roman"/>
          <w:w w:val="105"/>
          <w:sz w:val="24"/>
        </w:rPr>
        <w:t>notificare</w:t>
      </w:r>
      <w:r>
        <w:rPr>
          <w:rFonts w:cs="Times New Roman"/>
          <w:spacing w:val="80"/>
          <w:w w:val="105"/>
          <w:sz w:val="24"/>
        </w:rPr>
        <w:t xml:space="preserve"> </w:t>
      </w:r>
      <w:r>
        <w:rPr>
          <w:rFonts w:cs="Times New Roman"/>
          <w:w w:val="105"/>
          <w:sz w:val="24"/>
        </w:rPr>
        <w:t>a</w:t>
      </w:r>
      <w:r>
        <w:rPr>
          <w:rFonts w:cs="Times New Roman"/>
          <w:spacing w:val="80"/>
          <w:w w:val="105"/>
          <w:sz w:val="24"/>
        </w:rPr>
        <w:t xml:space="preserve"> </w:t>
      </w:r>
      <w:r>
        <w:rPr>
          <w:rFonts w:cs="Times New Roman"/>
          <w:w w:val="105"/>
          <w:sz w:val="24"/>
        </w:rPr>
        <w:t>tuberculozei</w:t>
      </w:r>
      <w:r>
        <w:rPr>
          <w:rFonts w:cs="Times New Roman"/>
          <w:spacing w:val="80"/>
          <w:w w:val="105"/>
          <w:sz w:val="24"/>
        </w:rPr>
        <w:t xml:space="preserve"> </w:t>
      </w:r>
      <w:r>
        <w:rPr>
          <w:rFonts w:cs="Times New Roman"/>
          <w:w w:val="105"/>
          <w:sz w:val="24"/>
        </w:rPr>
        <w:t>MDR;</w:t>
      </w:r>
    </w:p>
    <w:p w14:paraId="59301330">
      <w:pPr>
        <w:tabs>
          <w:tab w:val="left" w:pos="567"/>
          <w:tab w:val="left" w:pos="709"/>
          <w:tab w:val="left" w:pos="1518"/>
        </w:tabs>
        <w:spacing w:line="271" w:lineRule="auto"/>
        <w:ind w:right="133" w:firstLine="567"/>
        <w:jc w:val="both"/>
        <w:rPr>
          <w:rFonts w:cs="Times New Roman"/>
          <w:sz w:val="24"/>
        </w:rPr>
      </w:pPr>
      <w:r>
        <w:rPr>
          <w:rFonts w:cs="Times New Roman"/>
          <w:w w:val="105"/>
          <w:sz w:val="24"/>
        </w:rPr>
        <w:t>34.  reducerea</w:t>
      </w:r>
      <w:r>
        <w:rPr>
          <w:rFonts w:cs="Times New Roman"/>
          <w:spacing w:val="80"/>
          <w:w w:val="105"/>
          <w:sz w:val="24"/>
        </w:rPr>
        <w:t xml:space="preserve"> </w:t>
      </w:r>
      <w:r>
        <w:rPr>
          <w:rFonts w:cs="Times New Roman"/>
          <w:w w:val="105"/>
          <w:sz w:val="24"/>
        </w:rPr>
        <w:t>transmiterii</w:t>
      </w:r>
      <w:r>
        <w:rPr>
          <w:rFonts w:cs="Times New Roman"/>
          <w:spacing w:val="80"/>
          <w:w w:val="105"/>
          <w:sz w:val="24"/>
        </w:rPr>
        <w:t xml:space="preserve"> </w:t>
      </w:r>
      <w:r>
        <w:rPr>
          <w:rFonts w:cs="Times New Roman"/>
          <w:w w:val="105"/>
          <w:sz w:val="24"/>
        </w:rPr>
        <w:t>tuberculozei</w:t>
      </w:r>
      <w:r>
        <w:rPr>
          <w:rFonts w:cs="Times New Roman"/>
          <w:spacing w:val="80"/>
          <w:w w:val="105"/>
          <w:sz w:val="24"/>
        </w:rPr>
        <w:t xml:space="preserve"> </w:t>
      </w:r>
      <w:r>
        <w:rPr>
          <w:rFonts w:cs="Times New Roman"/>
          <w:w w:val="105"/>
          <w:sz w:val="24"/>
        </w:rPr>
        <w:t>în</w:t>
      </w:r>
      <w:r>
        <w:rPr>
          <w:rFonts w:cs="Times New Roman"/>
          <w:spacing w:val="80"/>
          <w:w w:val="105"/>
          <w:sz w:val="24"/>
        </w:rPr>
        <w:t xml:space="preserve"> </w:t>
      </w:r>
      <w:r>
        <w:rPr>
          <w:rFonts w:cs="Times New Roman"/>
          <w:w w:val="105"/>
          <w:sz w:val="24"/>
        </w:rPr>
        <w:t>rândul</w:t>
      </w:r>
      <w:r>
        <w:rPr>
          <w:rFonts w:cs="Times New Roman"/>
          <w:spacing w:val="80"/>
          <w:w w:val="105"/>
          <w:sz w:val="24"/>
        </w:rPr>
        <w:t xml:space="preserve"> </w:t>
      </w:r>
      <w:r>
        <w:rPr>
          <w:rFonts w:cs="Times New Roman"/>
          <w:w w:val="105"/>
          <w:sz w:val="24"/>
        </w:rPr>
        <w:t>grupurilor</w:t>
      </w:r>
      <w:r>
        <w:rPr>
          <w:rFonts w:cs="Times New Roman"/>
          <w:spacing w:val="80"/>
          <w:w w:val="105"/>
          <w:sz w:val="24"/>
        </w:rPr>
        <w:t xml:space="preserve"> </w:t>
      </w:r>
      <w:r>
        <w:rPr>
          <w:rFonts w:cs="Times New Roman"/>
          <w:w w:val="105"/>
          <w:sz w:val="24"/>
        </w:rPr>
        <w:t>cu</w:t>
      </w:r>
      <w:r>
        <w:rPr>
          <w:rFonts w:cs="Times New Roman"/>
          <w:spacing w:val="80"/>
          <w:w w:val="105"/>
          <w:sz w:val="24"/>
        </w:rPr>
        <w:t xml:space="preserve"> </w:t>
      </w:r>
      <w:r>
        <w:rPr>
          <w:rFonts w:cs="Times New Roman"/>
          <w:w w:val="105"/>
          <w:sz w:val="24"/>
        </w:rPr>
        <w:t>risc</w:t>
      </w:r>
      <w:r>
        <w:rPr>
          <w:rFonts w:cs="Times New Roman"/>
          <w:spacing w:val="80"/>
          <w:w w:val="105"/>
          <w:sz w:val="24"/>
        </w:rPr>
        <w:t xml:space="preserve"> </w:t>
      </w:r>
      <w:r>
        <w:rPr>
          <w:rFonts w:cs="Times New Roman"/>
          <w:w w:val="105"/>
          <w:sz w:val="24"/>
        </w:rPr>
        <w:t>sporit</w:t>
      </w:r>
      <w:r>
        <w:rPr>
          <w:rFonts w:cs="Times New Roman"/>
          <w:spacing w:val="79"/>
          <w:w w:val="105"/>
          <w:sz w:val="24"/>
        </w:rPr>
        <w:t xml:space="preserve"> </w:t>
      </w:r>
      <w:r>
        <w:rPr>
          <w:rFonts w:cs="Times New Roman"/>
          <w:w w:val="105"/>
          <w:sz w:val="24"/>
        </w:rPr>
        <w:t>și</w:t>
      </w:r>
      <w:r>
        <w:rPr>
          <w:rFonts w:cs="Times New Roman"/>
          <w:spacing w:val="80"/>
          <w:w w:val="105"/>
          <w:sz w:val="24"/>
        </w:rPr>
        <w:t xml:space="preserve"> </w:t>
      </w:r>
      <w:r>
        <w:rPr>
          <w:rFonts w:cs="Times New Roman"/>
          <w:w w:val="105"/>
          <w:sz w:val="24"/>
        </w:rPr>
        <w:t>al populațiilor vulnerabile, reflectată prin:</w:t>
      </w:r>
    </w:p>
    <w:p w14:paraId="245CFEA4">
      <w:pPr>
        <w:tabs>
          <w:tab w:val="left" w:pos="567"/>
          <w:tab w:val="left" w:pos="709"/>
          <w:tab w:val="left" w:pos="1801"/>
        </w:tabs>
        <w:spacing w:line="271" w:lineRule="auto"/>
        <w:ind w:right="131" w:firstLine="567"/>
        <w:jc w:val="both"/>
        <w:rPr>
          <w:rFonts w:cs="Times New Roman"/>
          <w:sz w:val="24"/>
        </w:rPr>
      </w:pPr>
      <w:r>
        <w:rPr>
          <w:rFonts w:cs="Times New Roman"/>
          <w:spacing w:val="9"/>
          <w:w w:val="105"/>
          <w:sz w:val="24"/>
        </w:rPr>
        <w:t>34.1. creșterea</w:t>
      </w:r>
      <w:r>
        <w:rPr>
          <w:rFonts w:cs="Times New Roman"/>
          <w:spacing w:val="80"/>
          <w:w w:val="105"/>
          <w:sz w:val="24"/>
        </w:rPr>
        <w:t xml:space="preserve"> </w:t>
      </w:r>
      <w:r>
        <w:rPr>
          <w:rFonts w:cs="Times New Roman"/>
          <w:w w:val="105"/>
          <w:sz w:val="24"/>
        </w:rPr>
        <w:t>ratei</w:t>
      </w:r>
      <w:r>
        <w:rPr>
          <w:rFonts w:cs="Times New Roman"/>
          <w:spacing w:val="80"/>
          <w:w w:val="105"/>
          <w:sz w:val="24"/>
        </w:rPr>
        <w:t xml:space="preserve"> </w:t>
      </w:r>
      <w:r>
        <w:rPr>
          <w:rFonts w:cs="Times New Roman"/>
          <w:w w:val="105"/>
          <w:sz w:val="24"/>
        </w:rPr>
        <w:t>de</w:t>
      </w:r>
      <w:r>
        <w:rPr>
          <w:rFonts w:cs="Times New Roman"/>
          <w:spacing w:val="80"/>
          <w:w w:val="105"/>
          <w:sz w:val="24"/>
        </w:rPr>
        <w:t xml:space="preserve"> </w:t>
      </w:r>
      <w:r>
        <w:rPr>
          <w:rFonts w:cs="Times New Roman"/>
          <w:spacing w:val="9"/>
          <w:w w:val="105"/>
          <w:sz w:val="24"/>
        </w:rPr>
        <w:t>depistare</w:t>
      </w:r>
      <w:r>
        <w:rPr>
          <w:rFonts w:cs="Times New Roman"/>
          <w:spacing w:val="80"/>
          <w:w w:val="105"/>
          <w:sz w:val="24"/>
        </w:rPr>
        <w:t xml:space="preserve"> </w:t>
      </w:r>
      <w:r>
        <w:rPr>
          <w:rFonts w:cs="Times New Roman"/>
          <w:w w:val="105"/>
          <w:sz w:val="24"/>
        </w:rPr>
        <w:t>a</w:t>
      </w:r>
      <w:r>
        <w:rPr>
          <w:rFonts w:cs="Times New Roman"/>
          <w:spacing w:val="80"/>
          <w:w w:val="105"/>
          <w:sz w:val="24"/>
        </w:rPr>
        <w:t xml:space="preserve"> </w:t>
      </w:r>
      <w:r>
        <w:rPr>
          <w:rFonts w:cs="Times New Roman"/>
          <w:spacing w:val="9"/>
          <w:w w:val="105"/>
          <w:sz w:val="24"/>
        </w:rPr>
        <w:t>cazurilor</w:t>
      </w:r>
      <w:r>
        <w:rPr>
          <w:rFonts w:cs="Times New Roman"/>
          <w:spacing w:val="80"/>
          <w:w w:val="105"/>
          <w:sz w:val="24"/>
        </w:rPr>
        <w:t xml:space="preserve"> </w:t>
      </w:r>
      <w:r>
        <w:rPr>
          <w:rFonts w:cs="Times New Roman"/>
          <w:w w:val="105"/>
          <w:sz w:val="24"/>
        </w:rPr>
        <w:t>de</w:t>
      </w:r>
      <w:r>
        <w:rPr>
          <w:rFonts w:cs="Times New Roman"/>
          <w:spacing w:val="80"/>
          <w:w w:val="105"/>
          <w:sz w:val="24"/>
        </w:rPr>
        <w:t xml:space="preserve"> </w:t>
      </w:r>
      <w:r>
        <w:rPr>
          <w:rFonts w:cs="Times New Roman"/>
          <w:spacing w:val="10"/>
          <w:w w:val="105"/>
          <w:sz w:val="24"/>
        </w:rPr>
        <w:t>tuberculoză</w:t>
      </w:r>
      <w:r>
        <w:rPr>
          <w:rFonts w:cs="Times New Roman"/>
          <w:spacing w:val="80"/>
          <w:w w:val="105"/>
          <w:sz w:val="24"/>
        </w:rPr>
        <w:t xml:space="preserve"> </w:t>
      </w:r>
      <w:r>
        <w:rPr>
          <w:rFonts w:cs="Times New Roman"/>
          <w:spacing w:val="9"/>
          <w:w w:val="105"/>
          <w:sz w:val="24"/>
        </w:rPr>
        <w:t>rezistentă</w:t>
      </w:r>
      <w:r>
        <w:rPr>
          <w:rFonts w:cs="Times New Roman"/>
          <w:spacing w:val="80"/>
          <w:w w:val="105"/>
          <w:sz w:val="24"/>
        </w:rPr>
        <w:t xml:space="preserve"> </w:t>
      </w:r>
      <w:r>
        <w:rPr>
          <w:rFonts w:cs="Times New Roman"/>
          <w:spacing w:val="11"/>
          <w:w w:val="105"/>
          <w:sz w:val="24"/>
        </w:rPr>
        <w:t xml:space="preserve">la </w:t>
      </w:r>
      <w:r>
        <w:rPr>
          <w:rFonts w:cs="Times New Roman"/>
          <w:w w:val="105"/>
          <w:sz w:val="24"/>
        </w:rPr>
        <w:t>Rifampicină și multidrogrezistentă la cel puțin 75% din numărul estimat;</w:t>
      </w:r>
    </w:p>
    <w:p w14:paraId="1EA1AA21">
      <w:pPr>
        <w:tabs>
          <w:tab w:val="left" w:pos="567"/>
          <w:tab w:val="left" w:pos="709"/>
          <w:tab w:val="left" w:pos="1724"/>
        </w:tabs>
        <w:spacing w:line="271" w:lineRule="auto"/>
        <w:ind w:right="138" w:firstLine="567"/>
        <w:jc w:val="both"/>
        <w:rPr>
          <w:rFonts w:cs="Times New Roman"/>
          <w:sz w:val="24"/>
        </w:rPr>
      </w:pPr>
      <w:r>
        <w:rPr>
          <w:rFonts w:cs="Times New Roman"/>
          <w:w w:val="105"/>
          <w:sz w:val="24"/>
        </w:rPr>
        <w:t>34.2. scăderea</w:t>
      </w:r>
      <w:r>
        <w:rPr>
          <w:rFonts w:cs="Times New Roman"/>
          <w:spacing w:val="40"/>
          <w:w w:val="105"/>
          <w:sz w:val="24"/>
        </w:rPr>
        <w:t xml:space="preserve"> </w:t>
      </w:r>
      <w:r>
        <w:rPr>
          <w:rFonts w:cs="Times New Roman"/>
          <w:w w:val="105"/>
          <w:sz w:val="24"/>
        </w:rPr>
        <w:t>ponderii</w:t>
      </w:r>
      <w:r>
        <w:rPr>
          <w:rFonts w:cs="Times New Roman"/>
          <w:spacing w:val="40"/>
          <w:w w:val="105"/>
          <w:sz w:val="24"/>
        </w:rPr>
        <w:t xml:space="preserve"> </w:t>
      </w:r>
      <w:r>
        <w:rPr>
          <w:rFonts w:cs="Times New Roman"/>
          <w:w w:val="105"/>
          <w:sz w:val="24"/>
        </w:rPr>
        <w:t>cazurilor</w:t>
      </w:r>
      <w:r>
        <w:rPr>
          <w:rFonts w:cs="Times New Roman"/>
          <w:spacing w:val="40"/>
          <w:w w:val="105"/>
          <w:sz w:val="24"/>
        </w:rPr>
        <w:t xml:space="preserve"> </w:t>
      </w:r>
      <w:r>
        <w:rPr>
          <w:rFonts w:cs="Times New Roman"/>
          <w:w w:val="105"/>
          <w:sz w:val="24"/>
        </w:rPr>
        <w:t>diagnosticate</w:t>
      </w:r>
      <w:r>
        <w:rPr>
          <w:rFonts w:cs="Times New Roman"/>
          <w:spacing w:val="40"/>
          <w:w w:val="105"/>
          <w:sz w:val="24"/>
        </w:rPr>
        <w:t xml:space="preserve"> </w:t>
      </w:r>
      <w:r>
        <w:rPr>
          <w:rFonts w:cs="Times New Roman"/>
          <w:w w:val="105"/>
          <w:sz w:val="24"/>
        </w:rPr>
        <w:t>tardiv</w:t>
      </w:r>
      <w:r>
        <w:rPr>
          <w:rFonts w:cs="Times New Roman"/>
          <w:spacing w:val="40"/>
          <w:w w:val="105"/>
          <w:sz w:val="24"/>
        </w:rPr>
        <w:t xml:space="preserve"> </w:t>
      </w:r>
      <w:r>
        <w:rPr>
          <w:rFonts w:cs="Times New Roman"/>
          <w:w w:val="105"/>
          <w:sz w:val="24"/>
        </w:rPr>
        <w:t>în</w:t>
      </w:r>
      <w:r>
        <w:rPr>
          <w:rFonts w:cs="Times New Roman"/>
          <w:spacing w:val="40"/>
          <w:w w:val="105"/>
          <w:sz w:val="24"/>
        </w:rPr>
        <w:t xml:space="preserve"> </w:t>
      </w:r>
      <w:r>
        <w:rPr>
          <w:rFonts w:cs="Times New Roman"/>
          <w:w w:val="105"/>
          <w:sz w:val="24"/>
        </w:rPr>
        <w:t>rândul</w:t>
      </w:r>
      <w:r>
        <w:rPr>
          <w:rFonts w:cs="Times New Roman"/>
          <w:spacing w:val="40"/>
          <w:w w:val="105"/>
          <w:sz w:val="24"/>
        </w:rPr>
        <w:t xml:space="preserve"> </w:t>
      </w:r>
      <w:r>
        <w:rPr>
          <w:rFonts w:cs="Times New Roman"/>
          <w:w w:val="105"/>
          <w:sz w:val="24"/>
        </w:rPr>
        <w:t>cazurilor</w:t>
      </w:r>
      <w:r>
        <w:rPr>
          <w:rFonts w:cs="Times New Roman"/>
          <w:spacing w:val="40"/>
          <w:w w:val="105"/>
          <w:sz w:val="24"/>
        </w:rPr>
        <w:t xml:space="preserve"> </w:t>
      </w:r>
      <w:r>
        <w:rPr>
          <w:rFonts w:cs="Times New Roman"/>
          <w:w w:val="105"/>
          <w:sz w:val="24"/>
        </w:rPr>
        <w:t>noi</w:t>
      </w:r>
      <w:r>
        <w:rPr>
          <w:rFonts w:cs="Times New Roman"/>
          <w:spacing w:val="40"/>
          <w:w w:val="105"/>
          <w:sz w:val="24"/>
        </w:rPr>
        <w:t xml:space="preserve"> </w:t>
      </w:r>
      <w:r>
        <w:rPr>
          <w:rFonts w:cs="Times New Roman"/>
          <w:w w:val="105"/>
          <w:sz w:val="24"/>
        </w:rPr>
        <w:t>de</w:t>
      </w:r>
      <w:r>
        <w:rPr>
          <w:rFonts w:cs="Times New Roman"/>
          <w:spacing w:val="80"/>
          <w:w w:val="105"/>
          <w:sz w:val="24"/>
        </w:rPr>
        <w:t xml:space="preserve">      </w:t>
      </w:r>
      <w:r>
        <w:rPr>
          <w:rFonts w:cs="Times New Roman"/>
          <w:spacing w:val="-2"/>
          <w:w w:val="105"/>
          <w:sz w:val="24"/>
        </w:rPr>
        <w:t>tuberculoză;</w:t>
      </w:r>
    </w:p>
    <w:p w14:paraId="3B087194">
      <w:pPr>
        <w:tabs>
          <w:tab w:val="left" w:pos="567"/>
          <w:tab w:val="left" w:pos="709"/>
        </w:tabs>
        <w:spacing w:line="271" w:lineRule="auto"/>
        <w:ind w:right="131" w:firstLine="567"/>
        <w:jc w:val="both"/>
        <w:rPr>
          <w:rFonts w:cs="Times New Roman"/>
          <w:sz w:val="24"/>
        </w:rPr>
      </w:pPr>
      <w:r>
        <w:rPr>
          <w:rFonts w:cs="Times New Roman"/>
          <w:spacing w:val="9"/>
          <w:w w:val="105"/>
          <w:sz w:val="24"/>
        </w:rPr>
        <w:t>35.  Îmbunătățirea</w:t>
      </w:r>
      <w:r>
        <w:rPr>
          <w:rFonts w:cs="Times New Roman"/>
          <w:spacing w:val="80"/>
          <w:w w:val="105"/>
          <w:sz w:val="24"/>
        </w:rPr>
        <w:t xml:space="preserve"> </w:t>
      </w:r>
      <w:r>
        <w:rPr>
          <w:rFonts w:cs="Times New Roman"/>
          <w:spacing w:val="9"/>
          <w:w w:val="105"/>
          <w:sz w:val="24"/>
        </w:rPr>
        <w:t>supraviețuirii</w:t>
      </w:r>
      <w:r>
        <w:rPr>
          <w:rFonts w:cs="Times New Roman"/>
          <w:spacing w:val="80"/>
          <w:w w:val="105"/>
          <w:sz w:val="24"/>
        </w:rPr>
        <w:t xml:space="preserve"> </w:t>
      </w:r>
      <w:r>
        <w:rPr>
          <w:rFonts w:cs="Times New Roman"/>
          <w:w w:val="105"/>
          <w:sz w:val="24"/>
        </w:rPr>
        <w:t>și</w:t>
      </w:r>
      <w:r>
        <w:rPr>
          <w:rFonts w:cs="Times New Roman"/>
          <w:spacing w:val="80"/>
          <w:w w:val="105"/>
          <w:sz w:val="24"/>
        </w:rPr>
        <w:t xml:space="preserve"> </w:t>
      </w:r>
      <w:r>
        <w:rPr>
          <w:rFonts w:cs="Times New Roman"/>
          <w:w w:val="105"/>
          <w:sz w:val="24"/>
        </w:rPr>
        <w:t>a</w:t>
      </w:r>
      <w:r>
        <w:rPr>
          <w:rFonts w:cs="Times New Roman"/>
          <w:spacing w:val="80"/>
          <w:w w:val="105"/>
          <w:sz w:val="24"/>
        </w:rPr>
        <w:t xml:space="preserve"> </w:t>
      </w:r>
      <w:r>
        <w:rPr>
          <w:rFonts w:cs="Times New Roman"/>
          <w:spacing w:val="9"/>
          <w:w w:val="105"/>
          <w:sz w:val="24"/>
        </w:rPr>
        <w:t>rezultatelor</w:t>
      </w:r>
      <w:r>
        <w:rPr>
          <w:rFonts w:cs="Times New Roman"/>
          <w:spacing w:val="80"/>
          <w:w w:val="105"/>
          <w:sz w:val="24"/>
        </w:rPr>
        <w:t xml:space="preserve"> </w:t>
      </w:r>
      <w:r>
        <w:rPr>
          <w:rFonts w:cs="Times New Roman"/>
          <w:w w:val="105"/>
          <w:sz w:val="24"/>
        </w:rPr>
        <w:t>clinice</w:t>
      </w:r>
      <w:r>
        <w:rPr>
          <w:rFonts w:cs="Times New Roman"/>
          <w:spacing w:val="80"/>
          <w:w w:val="105"/>
          <w:sz w:val="24"/>
        </w:rPr>
        <w:t xml:space="preserve"> </w:t>
      </w:r>
      <w:r>
        <w:rPr>
          <w:rFonts w:cs="Times New Roman"/>
          <w:w w:val="105"/>
          <w:sz w:val="24"/>
        </w:rPr>
        <w:t>ale</w:t>
      </w:r>
      <w:r>
        <w:rPr>
          <w:rFonts w:cs="Times New Roman"/>
          <w:spacing w:val="80"/>
          <w:w w:val="105"/>
          <w:sz w:val="24"/>
        </w:rPr>
        <w:t xml:space="preserve"> </w:t>
      </w:r>
      <w:r>
        <w:rPr>
          <w:rFonts w:cs="Times New Roman"/>
          <w:spacing w:val="9"/>
          <w:w w:val="105"/>
          <w:sz w:val="24"/>
        </w:rPr>
        <w:t>pacienților</w:t>
      </w:r>
      <w:r>
        <w:rPr>
          <w:rFonts w:cs="Times New Roman"/>
          <w:spacing w:val="80"/>
          <w:w w:val="105"/>
          <w:sz w:val="24"/>
        </w:rPr>
        <w:t xml:space="preserve"> </w:t>
      </w:r>
      <w:r>
        <w:rPr>
          <w:rFonts w:cs="Times New Roman"/>
          <w:spacing w:val="10"/>
          <w:w w:val="105"/>
          <w:sz w:val="24"/>
        </w:rPr>
        <w:t xml:space="preserve">cu </w:t>
      </w:r>
      <w:r>
        <w:rPr>
          <w:rFonts w:cs="Times New Roman"/>
          <w:w w:val="105"/>
          <w:sz w:val="24"/>
        </w:rPr>
        <w:t>tuberculoză,</w:t>
      </w:r>
      <w:r>
        <w:rPr>
          <w:rFonts w:cs="Times New Roman"/>
          <w:spacing w:val="40"/>
          <w:w w:val="105"/>
          <w:sz w:val="24"/>
        </w:rPr>
        <w:t xml:space="preserve"> </w:t>
      </w:r>
      <w:r>
        <w:rPr>
          <w:rFonts w:cs="Times New Roman"/>
          <w:w w:val="105"/>
          <w:sz w:val="24"/>
        </w:rPr>
        <w:t>prin:</w:t>
      </w:r>
    </w:p>
    <w:p w14:paraId="4DFA2071">
      <w:pPr>
        <w:tabs>
          <w:tab w:val="left" w:pos="567"/>
          <w:tab w:val="left" w:pos="709"/>
          <w:tab w:val="left" w:pos="1737"/>
        </w:tabs>
        <w:spacing w:line="271" w:lineRule="auto"/>
        <w:ind w:right="135" w:firstLine="567"/>
        <w:jc w:val="both"/>
        <w:rPr>
          <w:rFonts w:cs="Times New Roman"/>
          <w:sz w:val="24"/>
        </w:rPr>
      </w:pPr>
      <w:r>
        <w:rPr>
          <w:rFonts w:cs="Times New Roman"/>
          <w:w w:val="105"/>
          <w:sz w:val="24"/>
        </w:rPr>
        <w:t>35.1  atingerea</w:t>
      </w:r>
      <w:r>
        <w:rPr>
          <w:rFonts w:cs="Times New Roman"/>
          <w:spacing w:val="69"/>
          <w:w w:val="105"/>
          <w:sz w:val="24"/>
        </w:rPr>
        <w:t xml:space="preserve"> </w:t>
      </w:r>
      <w:r>
        <w:rPr>
          <w:rFonts w:cs="Times New Roman"/>
          <w:w w:val="105"/>
          <w:sz w:val="24"/>
        </w:rPr>
        <w:t>unei</w:t>
      </w:r>
      <w:r>
        <w:rPr>
          <w:rFonts w:cs="Times New Roman"/>
          <w:spacing w:val="70"/>
          <w:w w:val="105"/>
          <w:sz w:val="24"/>
        </w:rPr>
        <w:t xml:space="preserve"> </w:t>
      </w:r>
      <w:r>
        <w:rPr>
          <w:rFonts w:cs="Times New Roman"/>
          <w:w w:val="105"/>
          <w:sz w:val="24"/>
        </w:rPr>
        <w:t>rate</w:t>
      </w:r>
      <w:r>
        <w:rPr>
          <w:rFonts w:cs="Times New Roman"/>
          <w:spacing w:val="69"/>
          <w:w w:val="105"/>
          <w:sz w:val="24"/>
        </w:rPr>
        <w:t xml:space="preserve"> </w:t>
      </w:r>
      <w:r>
        <w:rPr>
          <w:rFonts w:cs="Times New Roman"/>
          <w:w w:val="105"/>
          <w:sz w:val="24"/>
        </w:rPr>
        <w:t>de</w:t>
      </w:r>
      <w:r>
        <w:rPr>
          <w:rFonts w:cs="Times New Roman"/>
          <w:spacing w:val="69"/>
          <w:w w:val="105"/>
          <w:sz w:val="24"/>
        </w:rPr>
        <w:t xml:space="preserve"> </w:t>
      </w:r>
      <w:r>
        <w:rPr>
          <w:rFonts w:cs="Times New Roman"/>
          <w:w w:val="105"/>
          <w:sz w:val="24"/>
        </w:rPr>
        <w:t>succes</w:t>
      </w:r>
      <w:r>
        <w:rPr>
          <w:rFonts w:cs="Times New Roman"/>
          <w:spacing w:val="69"/>
          <w:w w:val="105"/>
          <w:sz w:val="24"/>
        </w:rPr>
        <w:t xml:space="preserve"> </w:t>
      </w:r>
      <w:r>
        <w:rPr>
          <w:rFonts w:cs="Times New Roman"/>
          <w:w w:val="105"/>
          <w:sz w:val="24"/>
        </w:rPr>
        <w:t>a</w:t>
      </w:r>
      <w:r>
        <w:rPr>
          <w:rFonts w:cs="Times New Roman"/>
          <w:spacing w:val="69"/>
          <w:w w:val="105"/>
          <w:sz w:val="24"/>
        </w:rPr>
        <w:t xml:space="preserve"> </w:t>
      </w:r>
      <w:r>
        <w:rPr>
          <w:rFonts w:cs="Times New Roman"/>
          <w:w w:val="105"/>
          <w:sz w:val="24"/>
        </w:rPr>
        <w:t>tratamentului</w:t>
      </w:r>
      <w:r>
        <w:rPr>
          <w:rFonts w:cs="Times New Roman"/>
          <w:spacing w:val="70"/>
          <w:w w:val="105"/>
          <w:sz w:val="24"/>
        </w:rPr>
        <w:t xml:space="preserve"> </w:t>
      </w:r>
      <w:r>
        <w:rPr>
          <w:rFonts w:cs="Times New Roman"/>
          <w:w w:val="105"/>
          <w:sz w:val="24"/>
        </w:rPr>
        <w:t>de</w:t>
      </w:r>
      <w:r>
        <w:rPr>
          <w:rFonts w:cs="Times New Roman"/>
          <w:spacing w:val="69"/>
          <w:w w:val="105"/>
          <w:sz w:val="24"/>
        </w:rPr>
        <w:t xml:space="preserve"> </w:t>
      </w:r>
      <w:r>
        <w:rPr>
          <w:rFonts w:cs="Times New Roman"/>
          <w:w w:val="105"/>
          <w:sz w:val="24"/>
        </w:rPr>
        <w:t>cel</w:t>
      </w:r>
      <w:r>
        <w:rPr>
          <w:rFonts w:cs="Times New Roman"/>
          <w:spacing w:val="70"/>
          <w:w w:val="105"/>
          <w:sz w:val="24"/>
        </w:rPr>
        <w:t xml:space="preserve"> </w:t>
      </w:r>
      <w:r>
        <w:rPr>
          <w:rFonts w:cs="Times New Roman"/>
          <w:w w:val="105"/>
          <w:sz w:val="24"/>
        </w:rPr>
        <w:t>puțin</w:t>
      </w:r>
      <w:r>
        <w:rPr>
          <w:rFonts w:cs="Times New Roman"/>
          <w:spacing w:val="70"/>
          <w:w w:val="105"/>
          <w:sz w:val="24"/>
        </w:rPr>
        <w:t xml:space="preserve"> </w:t>
      </w:r>
      <w:r>
        <w:rPr>
          <w:rFonts w:cs="Times New Roman"/>
          <w:w w:val="105"/>
          <w:sz w:val="24"/>
        </w:rPr>
        <w:t>90%</w:t>
      </w:r>
      <w:r>
        <w:rPr>
          <w:rFonts w:cs="Times New Roman"/>
          <w:spacing w:val="69"/>
          <w:w w:val="105"/>
          <w:sz w:val="24"/>
        </w:rPr>
        <w:t xml:space="preserve"> </w:t>
      </w:r>
      <w:r>
        <w:rPr>
          <w:rFonts w:cs="Times New Roman"/>
          <w:w w:val="105"/>
          <w:sz w:val="24"/>
        </w:rPr>
        <w:t>în</w:t>
      </w:r>
      <w:r>
        <w:rPr>
          <w:rFonts w:cs="Times New Roman"/>
          <w:spacing w:val="70"/>
          <w:w w:val="105"/>
          <w:sz w:val="24"/>
        </w:rPr>
        <w:t xml:space="preserve"> </w:t>
      </w:r>
      <w:r>
        <w:rPr>
          <w:rFonts w:cs="Times New Roman"/>
          <w:w w:val="105"/>
          <w:sz w:val="24"/>
        </w:rPr>
        <w:t>rândul     cazurilor de tuberculoză sensibilă;</w:t>
      </w:r>
    </w:p>
    <w:p w14:paraId="0FBB7B8D">
      <w:pPr>
        <w:tabs>
          <w:tab w:val="left" w:pos="567"/>
          <w:tab w:val="left" w:pos="709"/>
          <w:tab w:val="left" w:pos="1684"/>
        </w:tabs>
        <w:spacing w:line="271" w:lineRule="auto"/>
        <w:ind w:right="138" w:firstLine="567"/>
        <w:jc w:val="both"/>
        <w:rPr>
          <w:rFonts w:cs="Times New Roman"/>
          <w:sz w:val="24"/>
        </w:rPr>
      </w:pPr>
      <w:r>
        <w:rPr>
          <w:rFonts w:cs="Times New Roman"/>
          <w:w w:val="105"/>
          <w:sz w:val="24"/>
        </w:rPr>
        <w:t>35.2  atingerea</w:t>
      </w:r>
      <w:r>
        <w:rPr>
          <w:rFonts w:cs="Times New Roman"/>
          <w:spacing w:val="27"/>
          <w:w w:val="105"/>
          <w:sz w:val="24"/>
        </w:rPr>
        <w:t xml:space="preserve"> </w:t>
      </w:r>
      <w:r>
        <w:rPr>
          <w:rFonts w:cs="Times New Roman"/>
          <w:w w:val="105"/>
          <w:sz w:val="24"/>
        </w:rPr>
        <w:t>ratei</w:t>
      </w:r>
      <w:r>
        <w:rPr>
          <w:rFonts w:cs="Times New Roman"/>
          <w:spacing w:val="27"/>
          <w:w w:val="105"/>
          <w:sz w:val="24"/>
        </w:rPr>
        <w:t xml:space="preserve"> </w:t>
      </w:r>
      <w:r>
        <w:rPr>
          <w:rFonts w:cs="Times New Roman"/>
          <w:w w:val="105"/>
          <w:sz w:val="24"/>
        </w:rPr>
        <w:t>de</w:t>
      </w:r>
      <w:r>
        <w:rPr>
          <w:rFonts w:cs="Times New Roman"/>
          <w:spacing w:val="27"/>
          <w:w w:val="105"/>
          <w:sz w:val="24"/>
        </w:rPr>
        <w:t xml:space="preserve"> </w:t>
      </w:r>
      <w:r>
        <w:rPr>
          <w:rFonts w:cs="Times New Roman"/>
          <w:w w:val="105"/>
          <w:sz w:val="24"/>
        </w:rPr>
        <w:t>succes a</w:t>
      </w:r>
      <w:r>
        <w:rPr>
          <w:rFonts w:cs="Times New Roman"/>
          <w:spacing w:val="27"/>
          <w:w w:val="105"/>
          <w:sz w:val="24"/>
        </w:rPr>
        <w:t xml:space="preserve"> </w:t>
      </w:r>
      <w:r>
        <w:rPr>
          <w:rFonts w:cs="Times New Roman"/>
          <w:w w:val="105"/>
          <w:sz w:val="24"/>
        </w:rPr>
        <w:t>tratamentului</w:t>
      </w:r>
      <w:r>
        <w:rPr>
          <w:rFonts w:cs="Times New Roman"/>
          <w:spacing w:val="27"/>
          <w:w w:val="105"/>
          <w:sz w:val="24"/>
        </w:rPr>
        <w:t xml:space="preserve"> </w:t>
      </w:r>
      <w:r>
        <w:rPr>
          <w:rFonts w:cs="Times New Roman"/>
          <w:w w:val="105"/>
          <w:sz w:val="24"/>
        </w:rPr>
        <w:t>de</w:t>
      </w:r>
      <w:r>
        <w:rPr>
          <w:rFonts w:cs="Times New Roman"/>
          <w:spacing w:val="27"/>
          <w:w w:val="105"/>
          <w:sz w:val="24"/>
        </w:rPr>
        <w:t xml:space="preserve"> </w:t>
      </w:r>
      <w:r>
        <w:rPr>
          <w:rFonts w:cs="Times New Roman"/>
          <w:w w:val="105"/>
          <w:sz w:val="24"/>
        </w:rPr>
        <w:t>cel</w:t>
      </w:r>
      <w:r>
        <w:rPr>
          <w:rFonts w:cs="Times New Roman"/>
          <w:spacing w:val="27"/>
          <w:w w:val="105"/>
          <w:sz w:val="24"/>
        </w:rPr>
        <w:t xml:space="preserve"> </w:t>
      </w:r>
      <w:r>
        <w:rPr>
          <w:rFonts w:cs="Times New Roman"/>
          <w:w w:val="105"/>
          <w:sz w:val="24"/>
        </w:rPr>
        <w:t>puțin</w:t>
      </w:r>
      <w:r>
        <w:rPr>
          <w:rFonts w:cs="Times New Roman"/>
          <w:spacing w:val="27"/>
          <w:w w:val="105"/>
          <w:sz w:val="24"/>
        </w:rPr>
        <w:t xml:space="preserve"> </w:t>
      </w:r>
      <w:r>
        <w:rPr>
          <w:rFonts w:cs="Times New Roman"/>
          <w:w w:val="105"/>
          <w:sz w:val="24"/>
        </w:rPr>
        <w:t>85%</w:t>
      </w:r>
      <w:r>
        <w:rPr>
          <w:rFonts w:cs="Times New Roman"/>
          <w:spacing w:val="27"/>
          <w:w w:val="105"/>
          <w:sz w:val="24"/>
        </w:rPr>
        <w:t xml:space="preserve"> </w:t>
      </w:r>
      <w:r>
        <w:rPr>
          <w:rFonts w:cs="Times New Roman"/>
          <w:w w:val="105"/>
          <w:sz w:val="24"/>
        </w:rPr>
        <w:t>în</w:t>
      </w:r>
      <w:r>
        <w:rPr>
          <w:rFonts w:cs="Times New Roman"/>
          <w:spacing w:val="27"/>
          <w:w w:val="105"/>
          <w:sz w:val="24"/>
        </w:rPr>
        <w:t xml:space="preserve"> </w:t>
      </w:r>
      <w:r>
        <w:rPr>
          <w:rFonts w:cs="Times New Roman"/>
          <w:w w:val="105"/>
          <w:sz w:val="24"/>
        </w:rPr>
        <w:t>rândul</w:t>
      </w:r>
      <w:r>
        <w:rPr>
          <w:rFonts w:cs="Times New Roman"/>
          <w:spacing w:val="27"/>
          <w:w w:val="105"/>
          <w:sz w:val="24"/>
        </w:rPr>
        <w:t xml:space="preserve"> </w:t>
      </w:r>
      <w:r>
        <w:rPr>
          <w:rFonts w:cs="Times New Roman"/>
          <w:w w:val="105"/>
          <w:sz w:val="24"/>
        </w:rPr>
        <w:t>cazurilor noi de tuberculoză MDR;</w:t>
      </w:r>
    </w:p>
    <w:p w14:paraId="267F844D">
      <w:pPr>
        <w:tabs>
          <w:tab w:val="left" w:pos="567"/>
          <w:tab w:val="left" w:pos="709"/>
          <w:tab w:val="left" w:pos="1469"/>
        </w:tabs>
        <w:spacing w:line="271" w:lineRule="auto"/>
        <w:ind w:right="139" w:firstLine="567"/>
        <w:jc w:val="both"/>
        <w:rPr>
          <w:rFonts w:cs="Times New Roman"/>
          <w:sz w:val="24"/>
        </w:rPr>
      </w:pPr>
      <w:r>
        <w:rPr>
          <w:rFonts w:cs="Times New Roman"/>
          <w:w w:val="105"/>
          <w:sz w:val="24"/>
        </w:rPr>
        <w:t>36.  reducerea impactului socioeconomic al tuberculozei asupra persoanelor afectate</w:t>
      </w:r>
      <w:r>
        <w:rPr>
          <w:rFonts w:cs="Times New Roman"/>
          <w:spacing w:val="40"/>
          <w:w w:val="105"/>
          <w:sz w:val="24"/>
        </w:rPr>
        <w:t xml:space="preserve"> </w:t>
      </w:r>
      <w:r>
        <w:rPr>
          <w:rFonts w:cs="Times New Roman"/>
          <w:w w:val="105"/>
          <w:sz w:val="24"/>
        </w:rPr>
        <w:t>și gospodăriilor acestora, reflectată prin:</w:t>
      </w:r>
    </w:p>
    <w:p w14:paraId="05033AAB">
      <w:pPr>
        <w:tabs>
          <w:tab w:val="left" w:pos="567"/>
          <w:tab w:val="left" w:pos="709"/>
          <w:tab w:val="left" w:pos="1702"/>
        </w:tabs>
        <w:spacing w:line="271" w:lineRule="auto"/>
        <w:ind w:right="141" w:firstLine="567"/>
        <w:jc w:val="both"/>
        <w:rPr>
          <w:rFonts w:cs="Times New Roman"/>
          <w:sz w:val="24"/>
        </w:rPr>
      </w:pPr>
      <w:r>
        <w:rPr>
          <w:rFonts w:cs="Times New Roman"/>
          <w:w w:val="105"/>
          <w:sz w:val="24"/>
        </w:rPr>
        <w:t>36.1.   eliminarea</w:t>
      </w:r>
      <w:r>
        <w:rPr>
          <w:rFonts w:cs="Times New Roman"/>
          <w:spacing w:val="40"/>
          <w:w w:val="105"/>
          <w:sz w:val="24"/>
        </w:rPr>
        <w:t xml:space="preserve"> </w:t>
      </w:r>
      <w:r>
        <w:rPr>
          <w:rFonts w:cs="Times New Roman"/>
          <w:w w:val="105"/>
          <w:sz w:val="24"/>
        </w:rPr>
        <w:t>cheltuielilor</w:t>
      </w:r>
      <w:r>
        <w:rPr>
          <w:rFonts w:cs="Times New Roman"/>
          <w:spacing w:val="40"/>
          <w:w w:val="105"/>
          <w:sz w:val="24"/>
        </w:rPr>
        <w:t xml:space="preserve"> </w:t>
      </w:r>
      <w:r>
        <w:rPr>
          <w:rFonts w:cs="Times New Roman"/>
          <w:w w:val="105"/>
          <w:sz w:val="24"/>
        </w:rPr>
        <w:t>catastrofale</w:t>
      </w:r>
      <w:r>
        <w:rPr>
          <w:rFonts w:cs="Times New Roman"/>
          <w:spacing w:val="40"/>
          <w:w w:val="105"/>
          <w:sz w:val="24"/>
        </w:rPr>
        <w:t xml:space="preserve"> </w:t>
      </w:r>
      <w:r>
        <w:rPr>
          <w:rFonts w:cs="Times New Roman"/>
          <w:w w:val="105"/>
          <w:sz w:val="24"/>
        </w:rPr>
        <w:t>asociate</w:t>
      </w:r>
      <w:r>
        <w:rPr>
          <w:rFonts w:cs="Times New Roman"/>
          <w:spacing w:val="40"/>
          <w:w w:val="105"/>
          <w:sz w:val="24"/>
        </w:rPr>
        <w:t xml:space="preserve"> </w:t>
      </w:r>
      <w:r>
        <w:rPr>
          <w:rFonts w:cs="Times New Roman"/>
          <w:w w:val="105"/>
          <w:sz w:val="24"/>
        </w:rPr>
        <w:t>tuberculozei,</w:t>
      </w:r>
      <w:r>
        <w:rPr>
          <w:rFonts w:cs="Times New Roman"/>
          <w:spacing w:val="40"/>
          <w:w w:val="105"/>
          <w:sz w:val="24"/>
        </w:rPr>
        <w:t xml:space="preserve"> </w:t>
      </w:r>
      <w:r>
        <w:rPr>
          <w:rFonts w:cs="Times New Roman"/>
          <w:w w:val="105"/>
          <w:sz w:val="24"/>
        </w:rPr>
        <w:t>cu</w:t>
      </w:r>
      <w:r>
        <w:rPr>
          <w:rFonts w:cs="Times New Roman"/>
          <w:spacing w:val="40"/>
          <w:w w:val="105"/>
          <w:sz w:val="24"/>
        </w:rPr>
        <w:t xml:space="preserve"> </w:t>
      </w:r>
      <w:r>
        <w:rPr>
          <w:rFonts w:cs="Times New Roman"/>
          <w:w w:val="105"/>
          <w:sz w:val="24"/>
        </w:rPr>
        <w:t>atingerea</w:t>
      </w:r>
      <w:r>
        <w:rPr>
          <w:rFonts w:cs="Times New Roman"/>
          <w:spacing w:val="40"/>
          <w:w w:val="105"/>
          <w:sz w:val="24"/>
        </w:rPr>
        <w:t xml:space="preserve"> </w:t>
      </w:r>
      <w:r>
        <w:rPr>
          <w:rFonts w:cs="Times New Roman"/>
          <w:w w:val="105"/>
          <w:sz w:val="24"/>
        </w:rPr>
        <w:t>unei</w:t>
      </w:r>
      <w:r>
        <w:rPr>
          <w:rFonts w:cs="Times New Roman"/>
          <w:spacing w:val="40"/>
          <w:w w:val="105"/>
          <w:sz w:val="24"/>
        </w:rPr>
        <w:t xml:space="preserve"> </w:t>
      </w:r>
      <w:r>
        <w:rPr>
          <w:rFonts w:cs="Times New Roman"/>
          <w:w w:val="105"/>
          <w:sz w:val="24"/>
        </w:rPr>
        <w:t>valori de 10% gospodării afectate;</w:t>
      </w:r>
    </w:p>
    <w:p w14:paraId="67EE6A8A">
      <w:pPr>
        <w:tabs>
          <w:tab w:val="left" w:pos="567"/>
          <w:tab w:val="left" w:pos="709"/>
          <w:tab w:val="left" w:pos="1716"/>
        </w:tabs>
        <w:spacing w:line="271" w:lineRule="auto"/>
        <w:ind w:right="137" w:firstLine="567"/>
        <w:jc w:val="both"/>
        <w:rPr>
          <w:rFonts w:cs="Times New Roman"/>
          <w:sz w:val="24"/>
        </w:rPr>
      </w:pPr>
      <w:r>
        <w:rPr>
          <w:rFonts w:cs="Times New Roman"/>
          <w:w w:val="105"/>
          <w:sz w:val="24"/>
        </w:rPr>
        <w:t>36.2. creșterea</w:t>
      </w:r>
      <w:r>
        <w:rPr>
          <w:rFonts w:cs="Times New Roman"/>
          <w:spacing w:val="40"/>
          <w:w w:val="105"/>
          <w:sz w:val="24"/>
        </w:rPr>
        <w:t xml:space="preserve"> </w:t>
      </w:r>
      <w:r>
        <w:rPr>
          <w:rFonts w:cs="Times New Roman"/>
          <w:w w:val="105"/>
          <w:sz w:val="24"/>
        </w:rPr>
        <w:t>proporției</w:t>
      </w:r>
      <w:r>
        <w:rPr>
          <w:rFonts w:cs="Times New Roman"/>
          <w:spacing w:val="40"/>
          <w:w w:val="105"/>
          <w:sz w:val="24"/>
        </w:rPr>
        <w:t xml:space="preserve"> </w:t>
      </w:r>
      <w:r>
        <w:rPr>
          <w:rFonts w:cs="Times New Roman"/>
          <w:w w:val="105"/>
          <w:sz w:val="24"/>
        </w:rPr>
        <w:t>pacienților</w:t>
      </w:r>
      <w:r>
        <w:rPr>
          <w:rFonts w:cs="Times New Roman"/>
          <w:spacing w:val="40"/>
          <w:w w:val="105"/>
          <w:sz w:val="24"/>
        </w:rPr>
        <w:t xml:space="preserve"> </w:t>
      </w:r>
      <w:r>
        <w:rPr>
          <w:rFonts w:cs="Times New Roman"/>
          <w:w w:val="105"/>
          <w:sz w:val="24"/>
        </w:rPr>
        <w:t>cu</w:t>
      </w:r>
      <w:r>
        <w:rPr>
          <w:rFonts w:cs="Times New Roman"/>
          <w:spacing w:val="40"/>
          <w:w w:val="105"/>
          <w:sz w:val="24"/>
        </w:rPr>
        <w:t xml:space="preserve"> </w:t>
      </w:r>
      <w:r>
        <w:rPr>
          <w:rFonts w:cs="Times New Roman"/>
          <w:w w:val="105"/>
          <w:sz w:val="24"/>
        </w:rPr>
        <w:t>tuberculoză</w:t>
      </w:r>
      <w:r>
        <w:rPr>
          <w:rFonts w:cs="Times New Roman"/>
          <w:spacing w:val="40"/>
          <w:w w:val="105"/>
          <w:sz w:val="24"/>
        </w:rPr>
        <w:t xml:space="preserve"> </w:t>
      </w:r>
      <w:r>
        <w:rPr>
          <w:rFonts w:cs="Times New Roman"/>
          <w:w w:val="105"/>
          <w:sz w:val="24"/>
        </w:rPr>
        <w:t>care</w:t>
      </w:r>
      <w:r>
        <w:rPr>
          <w:rFonts w:cs="Times New Roman"/>
          <w:spacing w:val="40"/>
          <w:w w:val="105"/>
          <w:sz w:val="24"/>
        </w:rPr>
        <w:t xml:space="preserve"> </w:t>
      </w:r>
      <w:r>
        <w:rPr>
          <w:rFonts w:cs="Times New Roman"/>
          <w:w w:val="105"/>
          <w:sz w:val="24"/>
        </w:rPr>
        <w:t>beneficiază</w:t>
      </w:r>
      <w:r>
        <w:rPr>
          <w:rFonts w:cs="Times New Roman"/>
          <w:spacing w:val="40"/>
          <w:w w:val="105"/>
          <w:sz w:val="24"/>
        </w:rPr>
        <w:t xml:space="preserve"> </w:t>
      </w:r>
      <w:r>
        <w:rPr>
          <w:rFonts w:cs="Times New Roman"/>
          <w:w w:val="105"/>
          <w:sz w:val="24"/>
        </w:rPr>
        <w:t>de</w:t>
      </w:r>
      <w:r>
        <w:rPr>
          <w:rFonts w:cs="Times New Roman"/>
          <w:spacing w:val="40"/>
          <w:w w:val="105"/>
          <w:sz w:val="24"/>
        </w:rPr>
        <w:t xml:space="preserve"> </w:t>
      </w:r>
      <w:r>
        <w:rPr>
          <w:rFonts w:cs="Times New Roman"/>
          <w:w w:val="105"/>
          <w:sz w:val="24"/>
        </w:rPr>
        <w:t>servicii</w:t>
      </w:r>
      <w:r>
        <w:rPr>
          <w:rFonts w:cs="Times New Roman"/>
          <w:spacing w:val="80"/>
          <w:w w:val="105"/>
          <w:sz w:val="24"/>
        </w:rPr>
        <w:t xml:space="preserve">  </w:t>
      </w:r>
      <w:r>
        <w:rPr>
          <w:rFonts w:cs="Times New Roman"/>
          <w:w w:val="105"/>
          <w:sz w:val="24"/>
        </w:rPr>
        <w:t>integrate medicale, psihosociale și comunitare;</w:t>
      </w:r>
    </w:p>
    <w:p w14:paraId="407A27B8">
      <w:pPr>
        <w:tabs>
          <w:tab w:val="left" w:pos="567"/>
          <w:tab w:val="left" w:pos="709"/>
          <w:tab w:val="left" w:pos="1481"/>
        </w:tabs>
        <w:ind w:firstLine="567"/>
        <w:jc w:val="both"/>
        <w:rPr>
          <w:rFonts w:cs="Times New Roman"/>
          <w:sz w:val="24"/>
        </w:rPr>
      </w:pPr>
      <w:r>
        <w:rPr>
          <w:rFonts w:cs="Times New Roman"/>
          <w:w w:val="105"/>
          <w:sz w:val="24"/>
        </w:rPr>
        <w:t>37.  Creșterea</w:t>
      </w:r>
      <w:r>
        <w:rPr>
          <w:rFonts w:cs="Times New Roman"/>
          <w:spacing w:val="35"/>
          <w:w w:val="105"/>
          <w:sz w:val="24"/>
        </w:rPr>
        <w:t xml:space="preserve"> </w:t>
      </w:r>
      <w:r>
        <w:rPr>
          <w:rFonts w:cs="Times New Roman"/>
          <w:w w:val="105"/>
          <w:sz w:val="24"/>
        </w:rPr>
        <w:t>echității</w:t>
      </w:r>
      <w:r>
        <w:rPr>
          <w:rFonts w:cs="Times New Roman"/>
          <w:spacing w:val="35"/>
          <w:w w:val="105"/>
          <w:sz w:val="24"/>
        </w:rPr>
        <w:t xml:space="preserve"> </w:t>
      </w:r>
      <w:r>
        <w:rPr>
          <w:rFonts w:cs="Times New Roman"/>
          <w:w w:val="105"/>
          <w:sz w:val="24"/>
        </w:rPr>
        <w:t>în</w:t>
      </w:r>
      <w:r>
        <w:rPr>
          <w:rFonts w:cs="Times New Roman"/>
          <w:spacing w:val="35"/>
          <w:w w:val="105"/>
          <w:sz w:val="24"/>
        </w:rPr>
        <w:t xml:space="preserve"> </w:t>
      </w:r>
      <w:r>
        <w:rPr>
          <w:rFonts w:cs="Times New Roman"/>
          <w:w w:val="105"/>
          <w:sz w:val="24"/>
        </w:rPr>
        <w:t>accesul</w:t>
      </w:r>
      <w:r>
        <w:rPr>
          <w:rFonts w:cs="Times New Roman"/>
          <w:spacing w:val="35"/>
          <w:w w:val="105"/>
          <w:sz w:val="24"/>
        </w:rPr>
        <w:t xml:space="preserve"> </w:t>
      </w:r>
      <w:r>
        <w:rPr>
          <w:rFonts w:cs="Times New Roman"/>
          <w:w w:val="105"/>
          <w:sz w:val="24"/>
        </w:rPr>
        <w:t>la</w:t>
      </w:r>
      <w:r>
        <w:rPr>
          <w:rFonts w:cs="Times New Roman"/>
          <w:spacing w:val="35"/>
          <w:w w:val="105"/>
          <w:sz w:val="24"/>
        </w:rPr>
        <w:t xml:space="preserve"> </w:t>
      </w:r>
      <w:r>
        <w:rPr>
          <w:rFonts w:cs="Times New Roman"/>
          <w:w w:val="105"/>
          <w:sz w:val="24"/>
        </w:rPr>
        <w:t>servicii</w:t>
      </w:r>
      <w:r>
        <w:rPr>
          <w:rFonts w:cs="Times New Roman"/>
          <w:spacing w:val="35"/>
          <w:w w:val="105"/>
          <w:sz w:val="24"/>
        </w:rPr>
        <w:t xml:space="preserve"> </w:t>
      </w:r>
      <w:r>
        <w:rPr>
          <w:rFonts w:cs="Times New Roman"/>
          <w:w w:val="105"/>
          <w:sz w:val="24"/>
        </w:rPr>
        <w:t>de</w:t>
      </w:r>
      <w:r>
        <w:rPr>
          <w:rFonts w:cs="Times New Roman"/>
          <w:spacing w:val="35"/>
          <w:w w:val="105"/>
          <w:sz w:val="24"/>
        </w:rPr>
        <w:t xml:space="preserve"> </w:t>
      </w:r>
      <w:r>
        <w:rPr>
          <w:rFonts w:cs="Times New Roman"/>
          <w:w w:val="105"/>
          <w:sz w:val="24"/>
        </w:rPr>
        <w:t>prevenire</w:t>
      </w:r>
      <w:r>
        <w:rPr>
          <w:rFonts w:cs="Times New Roman"/>
          <w:spacing w:val="35"/>
          <w:w w:val="105"/>
          <w:sz w:val="24"/>
        </w:rPr>
        <w:t xml:space="preserve"> </w:t>
      </w:r>
      <w:r>
        <w:rPr>
          <w:rFonts w:cs="Times New Roman"/>
          <w:w w:val="105"/>
          <w:sz w:val="24"/>
        </w:rPr>
        <w:t>și</w:t>
      </w:r>
      <w:r>
        <w:rPr>
          <w:rFonts w:cs="Times New Roman"/>
          <w:spacing w:val="35"/>
          <w:w w:val="105"/>
          <w:sz w:val="24"/>
        </w:rPr>
        <w:t xml:space="preserve"> </w:t>
      </w:r>
      <w:r>
        <w:rPr>
          <w:rFonts w:cs="Times New Roman"/>
          <w:w w:val="105"/>
          <w:sz w:val="24"/>
        </w:rPr>
        <w:t>control</w:t>
      </w:r>
      <w:r>
        <w:rPr>
          <w:rFonts w:cs="Times New Roman"/>
          <w:spacing w:val="35"/>
          <w:w w:val="105"/>
          <w:sz w:val="24"/>
        </w:rPr>
        <w:t xml:space="preserve"> </w:t>
      </w:r>
      <w:r>
        <w:rPr>
          <w:rFonts w:cs="Times New Roman"/>
          <w:w w:val="105"/>
          <w:sz w:val="24"/>
        </w:rPr>
        <w:t>al</w:t>
      </w:r>
      <w:r>
        <w:rPr>
          <w:rFonts w:cs="Times New Roman"/>
          <w:spacing w:val="35"/>
          <w:w w:val="105"/>
          <w:sz w:val="24"/>
        </w:rPr>
        <w:t xml:space="preserve"> </w:t>
      </w:r>
      <w:r>
        <w:rPr>
          <w:rFonts w:cs="Times New Roman"/>
          <w:spacing w:val="-2"/>
          <w:w w:val="105"/>
          <w:sz w:val="24"/>
        </w:rPr>
        <w:t>tuberculozei,</w:t>
      </w:r>
    </w:p>
    <w:p w14:paraId="5FFC6CF8">
      <w:pPr>
        <w:pStyle w:val="10"/>
        <w:tabs>
          <w:tab w:val="left" w:pos="567"/>
          <w:tab w:val="left" w:pos="709"/>
        </w:tabs>
        <w:ind w:firstLine="567"/>
        <w:jc w:val="both"/>
        <w:rPr>
          <w:rFonts w:cs="Times New Roman"/>
        </w:rPr>
      </w:pPr>
      <w:r>
        <w:rPr>
          <w:rFonts w:cs="Times New Roman"/>
          <w:w w:val="105"/>
          <w:sz w:val="22"/>
        </w:rPr>
        <w:t>exprimată</w:t>
      </w:r>
      <w:r>
        <w:rPr>
          <w:rFonts w:cs="Times New Roman"/>
          <w:spacing w:val="4"/>
          <w:w w:val="105"/>
          <w:sz w:val="22"/>
        </w:rPr>
        <w:t xml:space="preserve"> </w:t>
      </w:r>
      <w:r>
        <w:rPr>
          <w:rFonts w:cs="Times New Roman"/>
          <w:spacing w:val="-2"/>
          <w:w w:val="105"/>
          <w:sz w:val="22"/>
        </w:rPr>
        <w:t>prin:</w:t>
      </w:r>
    </w:p>
    <w:p w14:paraId="71ED55F5">
      <w:pPr>
        <w:pStyle w:val="15"/>
        <w:tabs>
          <w:tab w:val="left" w:pos="567"/>
          <w:tab w:val="left" w:pos="709"/>
          <w:tab w:val="left" w:pos="1748"/>
        </w:tabs>
        <w:spacing w:line="271" w:lineRule="auto"/>
        <w:ind w:left="0" w:right="132" w:firstLine="567"/>
        <w:rPr>
          <w:rFonts w:cs="Times New Roman"/>
          <w:sz w:val="24"/>
        </w:rPr>
      </w:pPr>
      <w:r>
        <w:rPr>
          <w:rFonts w:cs="Times New Roman"/>
          <w:w w:val="105"/>
          <w:sz w:val="24"/>
        </w:rPr>
        <w:t>37.1.menținerea unei rate de vaccinare BCG de cel puțin 95% în rândul nou-</w:t>
      </w:r>
      <w:r>
        <w:rPr>
          <w:rFonts w:cs="Times New Roman"/>
          <w:spacing w:val="-2"/>
          <w:w w:val="105"/>
          <w:sz w:val="24"/>
        </w:rPr>
        <w:t>născuților;</w:t>
      </w:r>
    </w:p>
    <w:p w14:paraId="39079F7A">
      <w:pPr>
        <w:pStyle w:val="15"/>
        <w:tabs>
          <w:tab w:val="left" w:pos="567"/>
          <w:tab w:val="left" w:pos="709"/>
          <w:tab w:val="left" w:pos="1698"/>
        </w:tabs>
        <w:spacing w:line="271" w:lineRule="auto"/>
        <w:ind w:left="0" w:right="136" w:firstLine="567"/>
        <w:rPr>
          <w:rFonts w:cs="Times New Roman"/>
          <w:w w:val="105"/>
          <w:sz w:val="24"/>
        </w:rPr>
      </w:pPr>
      <w:r>
        <w:rPr>
          <w:rFonts w:cs="Times New Roman"/>
          <w:w w:val="105"/>
          <w:sz w:val="24"/>
        </w:rPr>
        <w:t>37.2.inițierea tratamentului preventiv al tuberculozei pentru cel puțin 90% dintre persoanele eligibile și finalizarea acestuia în minimum 90% dintre cazuri.</w:t>
      </w:r>
    </w:p>
    <w:p w14:paraId="747DCE61">
      <w:pPr>
        <w:tabs>
          <w:tab w:val="left" w:pos="567"/>
          <w:tab w:val="left" w:pos="709"/>
          <w:tab w:val="left" w:pos="1698"/>
        </w:tabs>
        <w:spacing w:line="271" w:lineRule="auto"/>
        <w:ind w:right="136"/>
        <w:jc w:val="both"/>
        <w:rPr>
          <w:rFonts w:cs="Times New Roman"/>
          <w:sz w:val="24"/>
        </w:rPr>
      </w:pPr>
    </w:p>
    <w:p w14:paraId="19634EE2">
      <w:pPr>
        <w:pStyle w:val="2"/>
        <w:tabs>
          <w:tab w:val="left" w:pos="567"/>
          <w:tab w:val="left" w:pos="709"/>
          <w:tab w:val="left" w:pos="3718"/>
        </w:tabs>
        <w:ind w:left="0"/>
        <w:jc w:val="both"/>
        <w:rPr>
          <w:rFonts w:cs="Times New Roman"/>
        </w:rPr>
      </w:pPr>
      <w:r>
        <w:rPr>
          <w:rFonts w:cs="Times New Roman"/>
          <w:w w:val="115"/>
          <w:sz w:val="22"/>
        </w:rPr>
        <w:t>VI.  RISCURI</w:t>
      </w:r>
      <w:r>
        <w:rPr>
          <w:rFonts w:cs="Times New Roman"/>
          <w:spacing w:val="26"/>
          <w:w w:val="115"/>
          <w:sz w:val="22"/>
        </w:rPr>
        <w:t xml:space="preserve"> </w:t>
      </w:r>
      <w:r>
        <w:rPr>
          <w:rFonts w:cs="Times New Roman"/>
          <w:w w:val="115"/>
          <w:sz w:val="22"/>
        </w:rPr>
        <w:t>DE</w:t>
      </w:r>
      <w:r>
        <w:rPr>
          <w:rFonts w:cs="Times New Roman"/>
          <w:spacing w:val="26"/>
          <w:w w:val="115"/>
          <w:sz w:val="22"/>
        </w:rPr>
        <w:t xml:space="preserve"> </w:t>
      </w:r>
      <w:r>
        <w:rPr>
          <w:rFonts w:cs="Times New Roman"/>
          <w:spacing w:val="-2"/>
          <w:w w:val="115"/>
          <w:sz w:val="22"/>
        </w:rPr>
        <w:t>IMPLEMENTARE</w:t>
      </w:r>
    </w:p>
    <w:p w14:paraId="11D60075">
      <w:pPr>
        <w:tabs>
          <w:tab w:val="left" w:pos="567"/>
          <w:tab w:val="left" w:pos="709"/>
          <w:tab w:val="left" w:pos="1322"/>
        </w:tabs>
        <w:spacing w:line="271" w:lineRule="auto"/>
        <w:ind w:right="129" w:firstLine="567"/>
        <w:jc w:val="both"/>
        <w:rPr>
          <w:rFonts w:cs="Times New Roman"/>
          <w:sz w:val="24"/>
        </w:rPr>
      </w:pPr>
      <w:r>
        <w:rPr>
          <w:rFonts w:cs="Times New Roman"/>
          <w:w w:val="105"/>
          <w:sz w:val="24"/>
        </w:rPr>
        <w:t>38. Implementarea prezentului Programului implică un set de provocări strategice, operaționale,</w:t>
      </w:r>
      <w:r>
        <w:rPr>
          <w:rFonts w:cs="Times New Roman"/>
          <w:spacing w:val="40"/>
          <w:w w:val="105"/>
          <w:sz w:val="24"/>
        </w:rPr>
        <w:t xml:space="preserve"> </w:t>
      </w:r>
      <w:r>
        <w:rPr>
          <w:rFonts w:cs="Times New Roman"/>
          <w:w w:val="105"/>
          <w:sz w:val="24"/>
        </w:rPr>
        <w:t>financiare</w:t>
      </w:r>
      <w:r>
        <w:rPr>
          <w:rFonts w:cs="Times New Roman"/>
          <w:spacing w:val="40"/>
          <w:w w:val="105"/>
          <w:sz w:val="24"/>
        </w:rPr>
        <w:t xml:space="preserve"> </w:t>
      </w:r>
      <w:r>
        <w:rPr>
          <w:rFonts w:cs="Times New Roman"/>
          <w:w w:val="105"/>
          <w:sz w:val="24"/>
        </w:rPr>
        <w:t>și</w:t>
      </w:r>
      <w:r>
        <w:rPr>
          <w:rFonts w:cs="Times New Roman"/>
          <w:spacing w:val="40"/>
          <w:w w:val="105"/>
          <w:sz w:val="24"/>
        </w:rPr>
        <w:t xml:space="preserve"> </w:t>
      </w:r>
      <w:r>
        <w:rPr>
          <w:rFonts w:cs="Times New Roman"/>
          <w:w w:val="105"/>
          <w:sz w:val="24"/>
        </w:rPr>
        <w:t>instituționale,</w:t>
      </w:r>
      <w:r>
        <w:rPr>
          <w:rFonts w:cs="Times New Roman"/>
          <w:spacing w:val="40"/>
          <w:w w:val="105"/>
          <w:sz w:val="24"/>
        </w:rPr>
        <w:t xml:space="preserve"> </w:t>
      </w:r>
      <w:r>
        <w:rPr>
          <w:rFonts w:cs="Times New Roman"/>
          <w:w w:val="105"/>
          <w:sz w:val="24"/>
        </w:rPr>
        <w:t>care</w:t>
      </w:r>
      <w:r>
        <w:rPr>
          <w:rFonts w:cs="Times New Roman"/>
          <w:spacing w:val="40"/>
          <w:w w:val="105"/>
          <w:sz w:val="24"/>
        </w:rPr>
        <w:t xml:space="preserve"> </w:t>
      </w:r>
      <w:r>
        <w:rPr>
          <w:rFonts w:cs="Times New Roman"/>
          <w:w w:val="105"/>
          <w:sz w:val="24"/>
        </w:rPr>
        <w:t>pot</w:t>
      </w:r>
      <w:r>
        <w:rPr>
          <w:rFonts w:cs="Times New Roman"/>
          <w:spacing w:val="40"/>
          <w:w w:val="105"/>
          <w:sz w:val="24"/>
        </w:rPr>
        <w:t xml:space="preserve"> </w:t>
      </w:r>
      <w:r>
        <w:rPr>
          <w:rFonts w:cs="Times New Roman"/>
          <w:w w:val="105"/>
          <w:sz w:val="24"/>
        </w:rPr>
        <w:t>influența</w:t>
      </w:r>
      <w:r>
        <w:rPr>
          <w:rFonts w:cs="Times New Roman"/>
          <w:spacing w:val="40"/>
          <w:w w:val="105"/>
          <w:sz w:val="24"/>
        </w:rPr>
        <w:t xml:space="preserve"> </w:t>
      </w:r>
      <w:r>
        <w:rPr>
          <w:rFonts w:cs="Times New Roman"/>
          <w:w w:val="105"/>
          <w:sz w:val="24"/>
        </w:rPr>
        <w:t>progresul</w:t>
      </w:r>
      <w:r>
        <w:rPr>
          <w:rFonts w:cs="Times New Roman"/>
          <w:spacing w:val="40"/>
          <w:w w:val="105"/>
          <w:sz w:val="24"/>
        </w:rPr>
        <w:t xml:space="preserve"> </w:t>
      </w:r>
      <w:r>
        <w:rPr>
          <w:rFonts w:cs="Times New Roman"/>
          <w:w w:val="105"/>
          <w:sz w:val="24"/>
        </w:rPr>
        <w:t>și</w:t>
      </w:r>
      <w:r>
        <w:rPr>
          <w:rFonts w:cs="Times New Roman"/>
          <w:spacing w:val="40"/>
          <w:w w:val="105"/>
          <w:sz w:val="24"/>
        </w:rPr>
        <w:t xml:space="preserve"> </w:t>
      </w:r>
      <w:r>
        <w:rPr>
          <w:rFonts w:cs="Times New Roman"/>
          <w:w w:val="105"/>
          <w:sz w:val="24"/>
        </w:rPr>
        <w:t xml:space="preserve">atingerea </w:t>
      </w:r>
      <w:r>
        <w:rPr>
          <w:rFonts w:cs="Times New Roman"/>
          <w:spacing w:val="10"/>
          <w:w w:val="105"/>
          <w:sz w:val="24"/>
        </w:rPr>
        <w:t xml:space="preserve">rezultatelor </w:t>
      </w:r>
      <w:r>
        <w:rPr>
          <w:rFonts w:cs="Times New Roman"/>
          <w:spacing w:val="9"/>
          <w:w w:val="105"/>
          <w:sz w:val="24"/>
        </w:rPr>
        <w:t xml:space="preserve">așteptate. Pentru </w:t>
      </w:r>
      <w:r>
        <w:rPr>
          <w:rFonts w:cs="Times New Roman"/>
          <w:w w:val="105"/>
          <w:sz w:val="24"/>
        </w:rPr>
        <w:t xml:space="preserve">a </w:t>
      </w:r>
      <w:r>
        <w:rPr>
          <w:rFonts w:cs="Times New Roman"/>
          <w:spacing w:val="9"/>
          <w:w w:val="105"/>
          <w:sz w:val="24"/>
        </w:rPr>
        <w:t xml:space="preserve">gestiona aceste </w:t>
      </w:r>
      <w:r>
        <w:rPr>
          <w:rFonts w:cs="Times New Roman"/>
          <w:spacing w:val="10"/>
          <w:w w:val="105"/>
          <w:sz w:val="24"/>
        </w:rPr>
        <w:t xml:space="preserve">incertitudini, </w:t>
      </w:r>
      <w:r>
        <w:rPr>
          <w:rFonts w:cs="Times New Roman"/>
          <w:w w:val="105"/>
          <w:sz w:val="24"/>
        </w:rPr>
        <w:t xml:space="preserve">au fost </w:t>
      </w:r>
      <w:r>
        <w:rPr>
          <w:rFonts w:cs="Times New Roman"/>
          <w:spacing w:val="11"/>
          <w:w w:val="105"/>
          <w:sz w:val="24"/>
        </w:rPr>
        <w:t xml:space="preserve">identificate </w:t>
      </w:r>
      <w:r>
        <w:rPr>
          <w:rFonts w:cs="Times New Roman"/>
          <w:w w:val="105"/>
          <w:sz w:val="24"/>
        </w:rPr>
        <w:t>principalele riscuri însoțite de evaluarea probabilității producerii acestora, de impactul</w:t>
      </w:r>
      <w:r>
        <w:rPr>
          <w:rFonts w:cs="Times New Roman"/>
          <w:spacing w:val="80"/>
          <w:w w:val="105"/>
          <w:sz w:val="24"/>
        </w:rPr>
        <w:t xml:space="preserve"> </w:t>
      </w:r>
      <w:r>
        <w:rPr>
          <w:rFonts w:cs="Times New Roman"/>
          <w:w w:val="105"/>
          <w:sz w:val="24"/>
        </w:rPr>
        <w:t>estimat și de măsurile propuse pentru diminuare.</w:t>
      </w:r>
    </w:p>
    <w:p w14:paraId="59DC3F80">
      <w:pPr>
        <w:tabs>
          <w:tab w:val="left" w:pos="567"/>
          <w:tab w:val="left" w:pos="709"/>
          <w:tab w:val="left" w:pos="1304"/>
        </w:tabs>
        <w:spacing w:line="271" w:lineRule="auto"/>
        <w:ind w:right="142" w:firstLine="567"/>
        <w:jc w:val="both"/>
        <w:rPr>
          <w:rFonts w:cs="Times New Roman"/>
          <w:sz w:val="24"/>
        </w:rPr>
      </w:pPr>
      <w:r>
        <w:rPr>
          <w:rFonts w:cs="Times New Roman"/>
          <w:w w:val="105"/>
          <w:sz w:val="24"/>
        </w:rPr>
        <w:t>39.  Principalele riscuri de implementare, împreună cu planul preliminar de prevenire</w:t>
      </w:r>
      <w:r>
        <w:rPr>
          <w:rFonts w:cs="Times New Roman"/>
          <w:spacing w:val="80"/>
          <w:w w:val="105"/>
          <w:sz w:val="24"/>
        </w:rPr>
        <w:t xml:space="preserve"> </w:t>
      </w:r>
      <w:r>
        <w:rPr>
          <w:rFonts w:cs="Times New Roman"/>
          <w:w w:val="105"/>
          <w:sz w:val="24"/>
        </w:rPr>
        <w:t>și intervenție, sunt prezentate în tabelul 3.</w:t>
      </w:r>
    </w:p>
    <w:p w14:paraId="717CF7C6">
      <w:pPr>
        <w:tabs>
          <w:tab w:val="left" w:pos="567"/>
          <w:tab w:val="left" w:pos="709"/>
        </w:tabs>
        <w:ind w:right="1879"/>
        <w:jc w:val="both"/>
        <w:rPr>
          <w:rFonts w:cs="Times New Roman"/>
          <w:b/>
          <w:sz w:val="24"/>
        </w:rPr>
      </w:pPr>
    </w:p>
    <w:p w14:paraId="55AACDF5">
      <w:pPr>
        <w:tabs>
          <w:tab w:val="left" w:pos="567"/>
          <w:tab w:val="left" w:pos="709"/>
        </w:tabs>
        <w:ind w:right="1879"/>
        <w:jc w:val="both"/>
        <w:rPr>
          <w:rFonts w:cs="Times New Roman"/>
          <w:b/>
          <w:sz w:val="24"/>
        </w:rPr>
      </w:pPr>
      <w:r>
        <w:rPr>
          <w:rFonts w:cs="Times New Roman"/>
          <w:b/>
          <w:sz w:val="24"/>
        </w:rPr>
        <w:t>VII.  AUTORITĂȚI/INSTITUȚII RESPONSABILE DE IMPLEMENTARE</w:t>
      </w:r>
    </w:p>
    <w:p w14:paraId="14AC1922">
      <w:pPr>
        <w:tabs>
          <w:tab w:val="left" w:pos="567"/>
          <w:tab w:val="left" w:pos="709"/>
        </w:tabs>
        <w:ind w:right="1879"/>
        <w:jc w:val="both"/>
        <w:rPr>
          <w:rFonts w:cs="Times New Roman"/>
          <w:b/>
          <w:sz w:val="24"/>
        </w:rPr>
      </w:pPr>
    </w:p>
    <w:p w14:paraId="294CDAC3">
      <w:pPr>
        <w:tabs>
          <w:tab w:val="left" w:pos="567"/>
          <w:tab w:val="left" w:pos="709"/>
        </w:tabs>
        <w:ind w:right="1879" w:firstLine="567"/>
        <w:jc w:val="both"/>
        <w:rPr>
          <w:rFonts w:cs="Times New Roman"/>
          <w:sz w:val="24"/>
        </w:rPr>
      </w:pPr>
      <w:r>
        <w:rPr>
          <w:rFonts w:cs="Times New Roman"/>
          <w:sz w:val="24"/>
        </w:rPr>
        <w:t>40.  Autoritatea responsabilă de coordonarea implementării prezentului Program este IMSP CS Sîngerei seviciul Serviciul ftiziopneumologiec.</w:t>
      </w:r>
    </w:p>
    <w:p w14:paraId="0471212B">
      <w:pPr>
        <w:tabs>
          <w:tab w:val="left" w:pos="567"/>
          <w:tab w:val="left" w:pos="709"/>
        </w:tabs>
        <w:ind w:right="1879" w:firstLine="567"/>
        <w:jc w:val="both"/>
        <w:rPr>
          <w:rFonts w:cs="Times New Roman"/>
          <w:sz w:val="24"/>
        </w:rPr>
      </w:pPr>
    </w:p>
    <w:p w14:paraId="03121630">
      <w:pPr>
        <w:tabs>
          <w:tab w:val="left" w:pos="567"/>
          <w:tab w:val="left" w:pos="709"/>
        </w:tabs>
        <w:ind w:right="1879" w:firstLine="567"/>
        <w:jc w:val="both"/>
        <w:rPr>
          <w:rFonts w:cs="Times New Roman"/>
          <w:sz w:val="24"/>
        </w:rPr>
      </w:pPr>
      <w:r>
        <w:rPr>
          <w:rFonts w:cs="Times New Roman"/>
          <w:sz w:val="24"/>
        </w:rPr>
        <w:t>41.  În procesul de implementare a prezentului Program, autoritățile responsabile vor colabora activ cu Consiliul Raional Sîngerei, CSP, IMSP Centre de Sănătate, APL.</w:t>
      </w:r>
    </w:p>
    <w:p w14:paraId="67E9DF51">
      <w:pPr>
        <w:pStyle w:val="2"/>
        <w:tabs>
          <w:tab w:val="left" w:pos="3633"/>
        </w:tabs>
        <w:ind w:left="0"/>
        <w:jc w:val="both"/>
        <w:rPr>
          <w:rFonts w:cs="Times New Roman"/>
        </w:rPr>
      </w:pPr>
    </w:p>
    <w:p w14:paraId="2A72D765">
      <w:pPr>
        <w:pStyle w:val="2"/>
        <w:tabs>
          <w:tab w:val="left" w:pos="3633"/>
        </w:tabs>
        <w:ind w:left="0"/>
        <w:jc w:val="both"/>
        <w:rPr>
          <w:rFonts w:cs="Times New Roman"/>
        </w:rPr>
      </w:pPr>
    </w:p>
    <w:p w14:paraId="1F99E51A">
      <w:pPr>
        <w:pStyle w:val="2"/>
        <w:tabs>
          <w:tab w:val="left" w:pos="3633"/>
        </w:tabs>
        <w:ind w:left="0"/>
        <w:jc w:val="both"/>
        <w:rPr>
          <w:rFonts w:cs="Times New Roman"/>
        </w:rPr>
      </w:pPr>
    </w:p>
    <w:p w14:paraId="304E2D2A">
      <w:pPr>
        <w:pStyle w:val="2"/>
        <w:tabs>
          <w:tab w:val="left" w:pos="3633"/>
        </w:tabs>
        <w:ind w:left="0"/>
        <w:jc w:val="both"/>
        <w:rPr>
          <w:rFonts w:cs="Times New Roman"/>
        </w:rPr>
      </w:pPr>
    </w:p>
    <w:p w14:paraId="7FFAD84D">
      <w:pPr>
        <w:pStyle w:val="2"/>
        <w:tabs>
          <w:tab w:val="left" w:pos="3633"/>
        </w:tabs>
        <w:ind w:left="0"/>
        <w:jc w:val="both"/>
        <w:rPr>
          <w:rFonts w:cs="Times New Roman"/>
        </w:rPr>
      </w:pPr>
    </w:p>
    <w:p w14:paraId="6E7D77BA">
      <w:pPr>
        <w:pStyle w:val="2"/>
        <w:tabs>
          <w:tab w:val="left" w:pos="3633"/>
        </w:tabs>
        <w:ind w:left="0"/>
        <w:jc w:val="both"/>
        <w:rPr>
          <w:rFonts w:cs="Times New Roman"/>
        </w:rPr>
      </w:pPr>
    </w:p>
    <w:p w14:paraId="33FF552A">
      <w:pPr>
        <w:pStyle w:val="2"/>
        <w:tabs>
          <w:tab w:val="left" w:pos="3633"/>
        </w:tabs>
        <w:ind w:left="0"/>
        <w:jc w:val="both"/>
        <w:rPr>
          <w:rFonts w:cs="Times New Roman"/>
        </w:rPr>
      </w:pPr>
    </w:p>
    <w:p w14:paraId="067BF8C1">
      <w:pPr>
        <w:pStyle w:val="2"/>
        <w:tabs>
          <w:tab w:val="left" w:pos="3633"/>
        </w:tabs>
        <w:ind w:left="0"/>
        <w:jc w:val="both"/>
        <w:rPr>
          <w:rFonts w:cs="Times New Roman"/>
        </w:rPr>
      </w:pPr>
    </w:p>
    <w:p w14:paraId="49DFE955">
      <w:pPr>
        <w:pStyle w:val="2"/>
        <w:tabs>
          <w:tab w:val="left" w:pos="3633"/>
        </w:tabs>
        <w:ind w:left="0"/>
        <w:jc w:val="both"/>
        <w:rPr>
          <w:rFonts w:cs="Times New Roman"/>
        </w:rPr>
      </w:pPr>
    </w:p>
    <w:p w14:paraId="67066DF4">
      <w:pPr>
        <w:pStyle w:val="2"/>
        <w:tabs>
          <w:tab w:val="left" w:pos="3633"/>
        </w:tabs>
        <w:ind w:left="0"/>
        <w:jc w:val="both"/>
        <w:rPr>
          <w:rFonts w:cs="Times New Roman"/>
        </w:rPr>
      </w:pPr>
    </w:p>
    <w:p w14:paraId="49729EEA">
      <w:pPr>
        <w:pStyle w:val="2"/>
        <w:tabs>
          <w:tab w:val="left" w:pos="3633"/>
        </w:tabs>
        <w:ind w:left="0"/>
        <w:jc w:val="both"/>
        <w:rPr>
          <w:rFonts w:cs="Times New Roman"/>
        </w:rPr>
      </w:pPr>
    </w:p>
    <w:p w14:paraId="42297B32">
      <w:pPr>
        <w:pStyle w:val="2"/>
        <w:tabs>
          <w:tab w:val="left" w:pos="3633"/>
        </w:tabs>
        <w:ind w:left="0"/>
        <w:jc w:val="both"/>
        <w:rPr>
          <w:rFonts w:cs="Times New Roman"/>
        </w:rPr>
      </w:pPr>
    </w:p>
    <w:p w14:paraId="4EE43765">
      <w:pPr>
        <w:pStyle w:val="2"/>
        <w:tabs>
          <w:tab w:val="left" w:pos="3633"/>
        </w:tabs>
        <w:ind w:left="0"/>
        <w:jc w:val="both"/>
        <w:rPr>
          <w:rFonts w:cs="Times New Roman"/>
        </w:rPr>
      </w:pPr>
    </w:p>
    <w:p w14:paraId="54F2FC52">
      <w:pPr>
        <w:pStyle w:val="2"/>
        <w:tabs>
          <w:tab w:val="left" w:pos="3633"/>
        </w:tabs>
        <w:jc w:val="right"/>
        <w:rPr>
          <w:rFonts w:cs="Times New Roman"/>
          <w:i/>
        </w:rPr>
      </w:pPr>
      <w:bookmarkStart w:id="0" w:name="_GoBack"/>
      <w:bookmarkEnd w:id="0"/>
      <w:r>
        <w:rPr>
          <w:rFonts w:cs="Times New Roman"/>
          <w:i/>
        </w:rPr>
        <w:t>Anexa nr. 2</w:t>
      </w:r>
    </w:p>
    <w:p w14:paraId="08C6BB05">
      <w:pPr>
        <w:pStyle w:val="2"/>
        <w:tabs>
          <w:tab w:val="left" w:pos="3633"/>
        </w:tabs>
        <w:jc w:val="right"/>
        <w:rPr>
          <w:rFonts w:cs="Times New Roman"/>
          <w:i/>
        </w:rPr>
      </w:pPr>
      <w:r>
        <w:rPr>
          <w:rFonts w:cs="Times New Roman"/>
          <w:i/>
        </w:rPr>
        <w:t>La Decizia nr._____din ______2026</w:t>
      </w:r>
    </w:p>
    <w:p w14:paraId="28058D23">
      <w:pPr>
        <w:pStyle w:val="2"/>
        <w:tabs>
          <w:tab w:val="left" w:pos="3633"/>
        </w:tabs>
        <w:ind w:left="0"/>
        <w:jc w:val="right"/>
        <w:rPr>
          <w:rFonts w:cs="Times New Roman"/>
        </w:rPr>
      </w:pPr>
    </w:p>
    <w:p w14:paraId="58662A02">
      <w:pPr>
        <w:pStyle w:val="2"/>
        <w:tabs>
          <w:tab w:val="left" w:pos="3633"/>
        </w:tabs>
        <w:ind w:left="0"/>
        <w:jc w:val="both"/>
        <w:rPr>
          <w:rFonts w:cs="Times New Roman"/>
        </w:rPr>
      </w:pPr>
    </w:p>
    <w:p w14:paraId="48E8C339">
      <w:pPr>
        <w:tabs>
          <w:tab w:val="left" w:pos="7335"/>
        </w:tabs>
        <w:jc w:val="center"/>
        <w:rPr>
          <w:rFonts w:eastAsia="Times New Roman" w:cs="Times New Roman"/>
          <w:b/>
          <w:sz w:val="28"/>
          <w:szCs w:val="28"/>
          <w:lang w:val="fr-FR" w:eastAsia="ru-RU"/>
        </w:rPr>
      </w:pPr>
    </w:p>
    <w:p w14:paraId="122902E5">
      <w:pPr>
        <w:tabs>
          <w:tab w:val="left" w:pos="7335"/>
        </w:tabs>
        <w:jc w:val="center"/>
        <w:rPr>
          <w:rFonts w:eastAsia="Times New Roman" w:cs="Times New Roman"/>
          <w:sz w:val="32"/>
          <w:szCs w:val="28"/>
          <w:lang w:val="fr-FR" w:eastAsia="ru-RU"/>
        </w:rPr>
      </w:pPr>
      <w:r>
        <w:rPr>
          <w:rFonts w:eastAsia="Times New Roman" w:cs="Times New Roman"/>
          <w:b/>
          <w:sz w:val="32"/>
          <w:szCs w:val="28"/>
          <w:lang w:val="fr-FR" w:eastAsia="ru-RU"/>
        </w:rPr>
        <w:t>PLAN DE ACȚIUNI</w:t>
      </w:r>
    </w:p>
    <w:p w14:paraId="4A60B4DA">
      <w:pPr>
        <w:tabs>
          <w:tab w:val="left" w:pos="7215"/>
        </w:tabs>
        <w:jc w:val="center"/>
        <w:rPr>
          <w:rFonts w:eastAsia="Times New Roman" w:cs="Times New Roman"/>
          <w:b/>
          <w:sz w:val="32"/>
          <w:szCs w:val="28"/>
          <w:lang w:val="fr-FR" w:eastAsia="ru-RU"/>
        </w:rPr>
      </w:pPr>
      <w:r>
        <w:rPr>
          <w:rFonts w:eastAsia="Times New Roman" w:cs="Times New Roman"/>
          <w:b/>
          <w:sz w:val="32"/>
          <w:szCs w:val="28"/>
          <w:lang w:val="fr-FR" w:eastAsia="ru-RU"/>
        </w:rPr>
        <w:t>pentru îmbunătățirea situației epidemiologice prin tuberculoză în                                  raionul Sîngerei  pe perioada 2026 – 2030</w:t>
      </w:r>
    </w:p>
    <w:p w14:paraId="16F05040">
      <w:pPr>
        <w:tabs>
          <w:tab w:val="left" w:pos="7215"/>
        </w:tabs>
        <w:jc w:val="center"/>
        <w:rPr>
          <w:rFonts w:eastAsia="Times New Roman" w:cs="Times New Roman"/>
          <w:b/>
          <w:sz w:val="32"/>
          <w:szCs w:val="28"/>
          <w:lang w:val="fr-FR" w:eastAsia="ru-RU"/>
        </w:rPr>
      </w:pPr>
    </w:p>
    <w:p w14:paraId="7B06E8BB">
      <w:pPr>
        <w:jc w:val="both"/>
        <w:rPr>
          <w:rFonts w:cs="Times New Roman"/>
        </w:rPr>
      </w:pPr>
      <w:r>
        <w:rPr>
          <w:rFonts w:cs="Times New Roman"/>
          <w:b/>
          <w:sz w:val="24"/>
        </w:rPr>
        <w:t>I. MONITORIZAREA ȘI EVALUAREA PROGRAMULUI</w:t>
      </w:r>
    </w:p>
    <w:p w14:paraId="531B5075">
      <w:pPr>
        <w:jc w:val="both"/>
        <w:rPr>
          <w:rFonts w:cs="Times New Roman"/>
          <w:sz w:val="24"/>
          <w:szCs w:val="24"/>
        </w:rPr>
      </w:pPr>
      <w:r>
        <w:rPr>
          <w:rFonts w:cs="Times New Roman"/>
          <w:sz w:val="24"/>
          <w:szCs w:val="24"/>
        </w:rPr>
        <w:t>Monitorizarea implementării Programului se va realiza trimestrial și anual, în baza indicatorilor epidemiologici, de proces și de rezultat. Serviciul Serviciul ftiziopneumologiec va consolida informația prezentată de instituțiile implicate, va identifica abaterile de la ținte și va propune măsuri corective. Evaluarea anuală va include cel puțin: acoperirea cu screening a grupurilor de risc, examinarea contacților, accesul la diagnostic rapid, inițierea și finalizarea tratamentului preventiv, succesul tratamentului TB sensibilă și MDR/RR, abandonul, mortalitatea, acoperirea BCG și gradul de realizare a acțiunilor finanțate.</w:t>
      </w:r>
    </w:p>
    <w:p w14:paraId="6B0750E0">
      <w:pPr>
        <w:jc w:val="both"/>
        <w:rPr>
          <w:rFonts w:cs="Times New Roman"/>
          <w:sz w:val="24"/>
          <w:szCs w:val="24"/>
        </w:rPr>
      </w:pPr>
    </w:p>
    <w:p w14:paraId="59EA8287">
      <w:pPr>
        <w:jc w:val="both"/>
        <w:rPr>
          <w:rFonts w:cs="Times New Roman"/>
        </w:rPr>
      </w:pPr>
      <w:r>
        <w:rPr>
          <w:rFonts w:cs="Times New Roman"/>
          <w:b/>
          <w:sz w:val="24"/>
        </w:rPr>
        <w:t>II. PLANUL DE ACȚIUNI PENTRU PERIOADA 2026–2030</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3"/>
        <w:gridCol w:w="5849"/>
        <w:gridCol w:w="1467"/>
        <w:gridCol w:w="2149"/>
      </w:tblGrid>
      <w:tr w14:paraId="51D9D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3" w:type="dxa"/>
            <w:vAlign w:val="center"/>
          </w:tcPr>
          <w:p w14:paraId="149E4FB6">
            <w:pPr>
              <w:tabs>
                <w:tab w:val="left" w:pos="7215"/>
              </w:tabs>
              <w:jc w:val="both"/>
              <w:rPr>
                <w:rFonts w:eastAsia="Times New Roman" w:cs="Times New Roman"/>
                <w:b/>
                <w:sz w:val="24"/>
                <w:szCs w:val="24"/>
                <w:lang w:val="fr-FR" w:eastAsia="ru-RU"/>
              </w:rPr>
            </w:pPr>
            <w:r>
              <w:rPr>
                <w:rFonts w:eastAsia="Times New Roman" w:cs="Times New Roman"/>
                <w:b/>
                <w:sz w:val="24"/>
                <w:szCs w:val="24"/>
                <w:lang w:val="fr-FR" w:eastAsia="ru-RU"/>
              </w:rPr>
              <w:t>Nr. d/o</w:t>
            </w:r>
          </w:p>
        </w:tc>
        <w:tc>
          <w:tcPr>
            <w:tcW w:w="6005" w:type="dxa"/>
            <w:vAlign w:val="center"/>
          </w:tcPr>
          <w:p w14:paraId="1864A45B">
            <w:pPr>
              <w:tabs>
                <w:tab w:val="left" w:pos="7215"/>
              </w:tabs>
              <w:jc w:val="both"/>
              <w:rPr>
                <w:rFonts w:eastAsia="Times New Roman" w:cs="Times New Roman"/>
                <w:b/>
                <w:sz w:val="24"/>
                <w:szCs w:val="24"/>
                <w:lang w:val="fr-FR" w:eastAsia="ru-RU"/>
              </w:rPr>
            </w:pPr>
            <w:r>
              <w:rPr>
                <w:rFonts w:eastAsia="Times New Roman" w:cs="Times New Roman"/>
                <w:b/>
                <w:sz w:val="24"/>
                <w:szCs w:val="24"/>
                <w:lang w:val="fr-FR" w:eastAsia="ru-RU"/>
              </w:rPr>
              <w:t>Denumirea acțiunilor</w:t>
            </w:r>
          </w:p>
        </w:tc>
        <w:tc>
          <w:tcPr>
            <w:tcW w:w="1474" w:type="dxa"/>
            <w:vAlign w:val="center"/>
          </w:tcPr>
          <w:p w14:paraId="6801E31D">
            <w:pPr>
              <w:tabs>
                <w:tab w:val="left" w:pos="7215"/>
              </w:tabs>
              <w:jc w:val="both"/>
              <w:rPr>
                <w:rFonts w:eastAsia="Times New Roman" w:cs="Times New Roman"/>
                <w:b/>
                <w:sz w:val="24"/>
                <w:szCs w:val="24"/>
                <w:lang w:val="fr-FR" w:eastAsia="ru-RU"/>
              </w:rPr>
            </w:pPr>
            <w:r>
              <w:rPr>
                <w:rFonts w:eastAsia="Times New Roman" w:cs="Times New Roman"/>
                <w:b/>
                <w:sz w:val="24"/>
                <w:szCs w:val="24"/>
                <w:lang w:val="fr-FR" w:eastAsia="ru-RU"/>
              </w:rPr>
              <w:t>Termenul</w:t>
            </w:r>
          </w:p>
          <w:p w14:paraId="2B72C83F">
            <w:pPr>
              <w:tabs>
                <w:tab w:val="left" w:pos="7215"/>
              </w:tabs>
              <w:jc w:val="both"/>
              <w:rPr>
                <w:rFonts w:eastAsia="Times New Roman" w:cs="Times New Roman"/>
                <w:b/>
                <w:sz w:val="24"/>
                <w:szCs w:val="24"/>
                <w:lang w:val="fr-FR" w:eastAsia="ru-RU"/>
              </w:rPr>
            </w:pPr>
            <w:r>
              <w:rPr>
                <w:rFonts w:eastAsia="Times New Roman" w:cs="Times New Roman"/>
                <w:b/>
                <w:sz w:val="24"/>
                <w:szCs w:val="24"/>
                <w:lang w:val="fr-FR" w:eastAsia="ru-RU"/>
              </w:rPr>
              <w:t>de realizare</w:t>
            </w:r>
          </w:p>
        </w:tc>
        <w:tc>
          <w:tcPr>
            <w:tcW w:w="1986" w:type="dxa"/>
            <w:vAlign w:val="center"/>
          </w:tcPr>
          <w:p w14:paraId="6D78E443">
            <w:pPr>
              <w:tabs>
                <w:tab w:val="left" w:pos="7215"/>
              </w:tabs>
              <w:jc w:val="both"/>
              <w:rPr>
                <w:rFonts w:eastAsia="Times New Roman" w:cs="Times New Roman"/>
                <w:b/>
                <w:sz w:val="24"/>
                <w:szCs w:val="24"/>
                <w:lang w:val="fr-FR" w:eastAsia="ru-RU"/>
              </w:rPr>
            </w:pPr>
            <w:r>
              <w:rPr>
                <w:rFonts w:eastAsia="Times New Roman" w:cs="Times New Roman"/>
                <w:b/>
                <w:sz w:val="24"/>
                <w:szCs w:val="24"/>
                <w:lang w:val="fr-FR" w:eastAsia="ru-RU"/>
              </w:rPr>
              <w:t>Responsabili</w:t>
            </w:r>
          </w:p>
        </w:tc>
      </w:tr>
      <w:tr w14:paraId="3077D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3" w:type="dxa"/>
            <w:vAlign w:val="center"/>
          </w:tcPr>
          <w:p w14:paraId="2CAE9E17">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1.</w:t>
            </w:r>
          </w:p>
        </w:tc>
        <w:tc>
          <w:tcPr>
            <w:tcW w:w="6005" w:type="dxa"/>
            <w:vAlign w:val="center"/>
          </w:tcPr>
          <w:p w14:paraId="41F3B1F8">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Extinderea  numărului persoanelor cu risc sporit de îmbolnăvire  de tuberculoză pînă la 12-15% din numărul populației înregistrate la medicul de familie.</w:t>
            </w:r>
          </w:p>
        </w:tc>
        <w:tc>
          <w:tcPr>
            <w:tcW w:w="1474" w:type="dxa"/>
            <w:vAlign w:val="center"/>
          </w:tcPr>
          <w:p w14:paraId="3CFF5A39">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Permanent</w:t>
            </w:r>
          </w:p>
        </w:tc>
        <w:tc>
          <w:tcPr>
            <w:tcW w:w="1986" w:type="dxa"/>
            <w:vAlign w:val="center"/>
          </w:tcPr>
          <w:p w14:paraId="2B352276">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Echipele medicilor de familie</w:t>
            </w:r>
          </w:p>
        </w:tc>
      </w:tr>
      <w:tr w14:paraId="411B3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3" w:type="dxa"/>
            <w:vAlign w:val="center"/>
          </w:tcPr>
          <w:p w14:paraId="0058616A">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2.</w:t>
            </w:r>
          </w:p>
        </w:tc>
        <w:tc>
          <w:tcPr>
            <w:tcW w:w="6005" w:type="dxa"/>
            <w:vAlign w:val="center"/>
          </w:tcPr>
          <w:p w14:paraId="599DDC93">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Participarea  lunară la ședințele cu medicii de familie, medicul epidemiolog cu evaluarea eficacităților măsurilor în controlul tuberculozei.</w:t>
            </w:r>
          </w:p>
        </w:tc>
        <w:tc>
          <w:tcPr>
            <w:tcW w:w="1474" w:type="dxa"/>
            <w:vAlign w:val="center"/>
          </w:tcPr>
          <w:p w14:paraId="1823CEAB">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Permanent</w:t>
            </w:r>
          </w:p>
        </w:tc>
        <w:tc>
          <w:tcPr>
            <w:tcW w:w="1986" w:type="dxa"/>
            <w:vAlign w:val="center"/>
          </w:tcPr>
          <w:p w14:paraId="30BC4120">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Medic coordonator  Serviciul ftiziopneumologic</w:t>
            </w:r>
          </w:p>
        </w:tc>
      </w:tr>
      <w:tr w14:paraId="4FF01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3" w:type="dxa"/>
            <w:vAlign w:val="center"/>
          </w:tcPr>
          <w:p w14:paraId="4CCC0CAC">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3.</w:t>
            </w:r>
          </w:p>
        </w:tc>
        <w:tc>
          <w:tcPr>
            <w:tcW w:w="6005" w:type="dxa"/>
            <w:vAlign w:val="center"/>
          </w:tcPr>
          <w:p w14:paraId="4B0EF342">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Conlucrarea continuă între medicii specialiști : infecționist, narcolog , psihiatru, endocrinolog, urolog  în depistarea cazurilor de tuberculoză la pacienți cu maladii concomitente din grupele  de risc și cu vigilență sporită.</w:t>
            </w:r>
          </w:p>
        </w:tc>
        <w:tc>
          <w:tcPr>
            <w:tcW w:w="1474" w:type="dxa"/>
            <w:vAlign w:val="center"/>
          </w:tcPr>
          <w:p w14:paraId="1796FD7A">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Permanent</w:t>
            </w:r>
          </w:p>
        </w:tc>
        <w:tc>
          <w:tcPr>
            <w:tcW w:w="1986" w:type="dxa"/>
            <w:vAlign w:val="center"/>
          </w:tcPr>
          <w:p w14:paraId="1686E446">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IMSP CS Sîngerei</w:t>
            </w:r>
          </w:p>
        </w:tc>
      </w:tr>
      <w:tr w14:paraId="582E2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3" w:type="dxa"/>
            <w:vAlign w:val="center"/>
          </w:tcPr>
          <w:p w14:paraId="48EFE7D0">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4.</w:t>
            </w:r>
          </w:p>
        </w:tc>
        <w:tc>
          <w:tcPr>
            <w:tcW w:w="6005" w:type="dxa"/>
            <w:vAlign w:val="center"/>
          </w:tcPr>
          <w:p w14:paraId="369CE22B">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Examinarea prin radiografie a persoanelor din grupul de risc și vigilență sporită de îmbolnăvire de tuberculoză  a cel puțin 90%.</w:t>
            </w:r>
          </w:p>
        </w:tc>
        <w:tc>
          <w:tcPr>
            <w:tcW w:w="1474" w:type="dxa"/>
            <w:vAlign w:val="center"/>
          </w:tcPr>
          <w:p w14:paraId="3B9D49AA">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Permanent</w:t>
            </w:r>
          </w:p>
        </w:tc>
        <w:tc>
          <w:tcPr>
            <w:tcW w:w="1986" w:type="dxa"/>
            <w:vAlign w:val="center"/>
          </w:tcPr>
          <w:p w14:paraId="1C1FC185">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Echipele medicilor de familie,</w:t>
            </w:r>
          </w:p>
          <w:p w14:paraId="094FDF17">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șefii CS</w:t>
            </w:r>
          </w:p>
        </w:tc>
      </w:tr>
      <w:tr w14:paraId="694E8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3" w:type="dxa"/>
            <w:vAlign w:val="center"/>
          </w:tcPr>
          <w:p w14:paraId="7E4E8022">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5.</w:t>
            </w:r>
          </w:p>
        </w:tc>
        <w:tc>
          <w:tcPr>
            <w:tcW w:w="6005" w:type="dxa"/>
            <w:vAlign w:val="center"/>
          </w:tcPr>
          <w:p w14:paraId="249694F6">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Pacienții  cu simptome clinice caracteristice tuberculozei vor fi direcționați     de    medicul     de     familie     către     cabinetul Serviciul ftiziopneumologiec pentru examinare :   microscopie și metode molecular genetice (GeneXpert).</w:t>
            </w:r>
          </w:p>
        </w:tc>
        <w:tc>
          <w:tcPr>
            <w:tcW w:w="1474" w:type="dxa"/>
            <w:vAlign w:val="center"/>
          </w:tcPr>
          <w:p w14:paraId="3FDD578A">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Permanent</w:t>
            </w:r>
          </w:p>
        </w:tc>
        <w:tc>
          <w:tcPr>
            <w:tcW w:w="1986" w:type="dxa"/>
            <w:vAlign w:val="center"/>
          </w:tcPr>
          <w:p w14:paraId="29742F7D">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Echipele medicilor de familie</w:t>
            </w:r>
          </w:p>
        </w:tc>
      </w:tr>
      <w:tr w14:paraId="767B1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3" w:type="dxa"/>
            <w:vAlign w:val="center"/>
          </w:tcPr>
          <w:p w14:paraId="048BEB1F">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6.</w:t>
            </w:r>
          </w:p>
        </w:tc>
        <w:tc>
          <w:tcPr>
            <w:tcW w:w="6005" w:type="dxa"/>
            <w:vAlign w:val="center"/>
          </w:tcPr>
          <w:p w14:paraId="06C7C454">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Depistarea cazurilor de tuberculoză MDR prin metoda GeneXpert.</w:t>
            </w:r>
          </w:p>
        </w:tc>
        <w:tc>
          <w:tcPr>
            <w:tcW w:w="1474" w:type="dxa"/>
            <w:vAlign w:val="center"/>
          </w:tcPr>
          <w:p w14:paraId="38C3899B">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Permanent</w:t>
            </w:r>
          </w:p>
        </w:tc>
        <w:tc>
          <w:tcPr>
            <w:tcW w:w="1986" w:type="dxa"/>
            <w:vAlign w:val="center"/>
          </w:tcPr>
          <w:p w14:paraId="4082D6E6">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 xml:space="preserve"> Serviciul ftiziopneumologic</w:t>
            </w:r>
          </w:p>
        </w:tc>
      </w:tr>
      <w:tr w14:paraId="66EB5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3" w:type="dxa"/>
            <w:vAlign w:val="center"/>
          </w:tcPr>
          <w:p w14:paraId="6BFBB0FD">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7.</w:t>
            </w:r>
          </w:p>
        </w:tc>
        <w:tc>
          <w:tcPr>
            <w:tcW w:w="6005" w:type="dxa"/>
            <w:vAlign w:val="center"/>
          </w:tcPr>
          <w:p w14:paraId="31C1C356">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Identificarea contacților apropiați și intradomiciliari la pacientul cu TBC cu extinderea numărului până la 15-18 persoane la 1 caz și examenare radiologică nu mai puțin de 90% din contacți.</w:t>
            </w:r>
          </w:p>
        </w:tc>
        <w:tc>
          <w:tcPr>
            <w:tcW w:w="1474" w:type="dxa"/>
            <w:vAlign w:val="center"/>
          </w:tcPr>
          <w:p w14:paraId="716F8398">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Permanent</w:t>
            </w:r>
          </w:p>
        </w:tc>
        <w:tc>
          <w:tcPr>
            <w:tcW w:w="1986" w:type="dxa"/>
            <w:vAlign w:val="center"/>
          </w:tcPr>
          <w:p w14:paraId="5E1857C0">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Echipele medicilor de familie, serviciul  ftiziopneumologic</w:t>
            </w:r>
          </w:p>
        </w:tc>
      </w:tr>
      <w:tr w14:paraId="7BE42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3" w:type="dxa"/>
            <w:vAlign w:val="center"/>
          </w:tcPr>
          <w:p w14:paraId="6CCB5B24">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8.</w:t>
            </w:r>
          </w:p>
        </w:tc>
        <w:tc>
          <w:tcPr>
            <w:tcW w:w="6005" w:type="dxa"/>
            <w:vAlign w:val="center"/>
          </w:tcPr>
          <w:p w14:paraId="50746572">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Supravegherea contacților simtomatici de către medcii de familie și examinarea Radiologică pînă la finisarea tratamentului și aflarea în fisierul de supraveghere.</w:t>
            </w:r>
          </w:p>
        </w:tc>
        <w:tc>
          <w:tcPr>
            <w:tcW w:w="1474" w:type="dxa"/>
            <w:vAlign w:val="center"/>
          </w:tcPr>
          <w:p w14:paraId="1C649983">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Permanent  fiecare 6 luni</w:t>
            </w:r>
          </w:p>
        </w:tc>
        <w:tc>
          <w:tcPr>
            <w:tcW w:w="1986" w:type="dxa"/>
            <w:vAlign w:val="center"/>
          </w:tcPr>
          <w:p w14:paraId="5A61FAEC">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Medicii de familie, Serviciul ftiziopneumologie</w:t>
            </w:r>
          </w:p>
        </w:tc>
      </w:tr>
      <w:tr w14:paraId="5681A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3" w:type="dxa"/>
            <w:vAlign w:val="center"/>
          </w:tcPr>
          <w:p w14:paraId="7A15F29E">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9.</w:t>
            </w:r>
          </w:p>
        </w:tc>
        <w:tc>
          <w:tcPr>
            <w:tcW w:w="6005" w:type="dxa"/>
            <w:vAlign w:val="center"/>
          </w:tcPr>
          <w:p w14:paraId="370993B5">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Întreprinderea măsurilor medico-sociale în vederea examinării profilactice a migranților interni și externi..</w:t>
            </w:r>
          </w:p>
        </w:tc>
        <w:tc>
          <w:tcPr>
            <w:tcW w:w="1474" w:type="dxa"/>
            <w:vAlign w:val="center"/>
          </w:tcPr>
          <w:p w14:paraId="0574476C">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Permanent</w:t>
            </w:r>
          </w:p>
        </w:tc>
        <w:tc>
          <w:tcPr>
            <w:tcW w:w="1986" w:type="dxa"/>
            <w:vAlign w:val="center"/>
          </w:tcPr>
          <w:p w14:paraId="58E4A458">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Medicii de familie, APL</w:t>
            </w:r>
          </w:p>
        </w:tc>
      </w:tr>
      <w:tr w14:paraId="10A62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3" w:type="dxa"/>
            <w:vAlign w:val="center"/>
          </w:tcPr>
          <w:p w14:paraId="46089A70">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10.</w:t>
            </w:r>
          </w:p>
        </w:tc>
        <w:tc>
          <w:tcPr>
            <w:tcW w:w="6005" w:type="dxa"/>
            <w:vAlign w:val="center"/>
          </w:tcPr>
          <w:p w14:paraId="5319A6CF">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Supravegherea pacienților cu coinfecția HIV/TB de către infecționist, examinarea lor și aprovizionarea cu</w:t>
            </w:r>
          </w:p>
          <w:p w14:paraId="1A213129">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tratament TARV.</w:t>
            </w:r>
          </w:p>
        </w:tc>
        <w:tc>
          <w:tcPr>
            <w:tcW w:w="1474" w:type="dxa"/>
            <w:vAlign w:val="center"/>
          </w:tcPr>
          <w:p w14:paraId="0667C332">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Permanent</w:t>
            </w:r>
          </w:p>
        </w:tc>
        <w:tc>
          <w:tcPr>
            <w:tcW w:w="1986" w:type="dxa"/>
            <w:vAlign w:val="center"/>
          </w:tcPr>
          <w:p w14:paraId="55B80BB6">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IMSP AMSA Sîngerei</w:t>
            </w:r>
          </w:p>
        </w:tc>
      </w:tr>
      <w:tr w14:paraId="7557E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3" w:type="dxa"/>
            <w:vAlign w:val="center"/>
          </w:tcPr>
          <w:p w14:paraId="51575F28">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11.</w:t>
            </w:r>
          </w:p>
        </w:tc>
        <w:tc>
          <w:tcPr>
            <w:tcW w:w="6005" w:type="dxa"/>
            <w:vAlign w:val="center"/>
          </w:tcPr>
          <w:p w14:paraId="1FEA5F1E">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Organizarea  și monitorizarea permanentă a situației privind examinarea pacienților simptomatici cu maladii ale aparatului respirator prin analiza sputei la BAAR și examenul radiologic.</w:t>
            </w:r>
          </w:p>
        </w:tc>
        <w:tc>
          <w:tcPr>
            <w:tcW w:w="1474" w:type="dxa"/>
            <w:vAlign w:val="center"/>
          </w:tcPr>
          <w:p w14:paraId="7D4FD6B7">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Permanent</w:t>
            </w:r>
          </w:p>
        </w:tc>
        <w:tc>
          <w:tcPr>
            <w:tcW w:w="1986" w:type="dxa"/>
            <w:vAlign w:val="center"/>
          </w:tcPr>
          <w:p w14:paraId="7AED1BFE">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Echipele medicilor de familie</w:t>
            </w:r>
          </w:p>
        </w:tc>
      </w:tr>
      <w:tr w14:paraId="1705A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3" w:type="dxa"/>
            <w:vAlign w:val="center"/>
          </w:tcPr>
          <w:p w14:paraId="483910A7">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12.</w:t>
            </w:r>
          </w:p>
        </w:tc>
        <w:tc>
          <w:tcPr>
            <w:tcW w:w="6005" w:type="dxa"/>
            <w:vAlign w:val="center"/>
          </w:tcPr>
          <w:p w14:paraId="5040AB1D">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Monitorizarea tratamentului antituberculos faza intensivă și faza continuare asigurînd administrarea strict supravegheată a preparatelor de către asistenta DOT cu respectarea indicațiilor  medicului Serviciul ftiziopneumologic.</w:t>
            </w:r>
          </w:p>
        </w:tc>
        <w:tc>
          <w:tcPr>
            <w:tcW w:w="1474" w:type="dxa"/>
            <w:vAlign w:val="center"/>
          </w:tcPr>
          <w:p w14:paraId="5BF14635">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Permanent</w:t>
            </w:r>
          </w:p>
        </w:tc>
        <w:tc>
          <w:tcPr>
            <w:tcW w:w="1986" w:type="dxa"/>
            <w:vAlign w:val="center"/>
          </w:tcPr>
          <w:p w14:paraId="521F54D1">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Echipele medicilor de familie</w:t>
            </w:r>
          </w:p>
        </w:tc>
      </w:tr>
      <w:tr w14:paraId="3CB8D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3" w:type="dxa"/>
            <w:vAlign w:val="center"/>
          </w:tcPr>
          <w:p w14:paraId="502C2443">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13.</w:t>
            </w:r>
          </w:p>
        </w:tc>
        <w:tc>
          <w:tcPr>
            <w:tcW w:w="6005" w:type="dxa"/>
            <w:vAlign w:val="center"/>
          </w:tcPr>
          <w:p w14:paraId="48780418">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Asigurarea monitorizării tratamentului pacienților cu toate formele de tuberculoză prin evaluarea regulată a rezistenței M.tuberculosis la medicamente.</w:t>
            </w:r>
          </w:p>
        </w:tc>
        <w:tc>
          <w:tcPr>
            <w:tcW w:w="1474" w:type="dxa"/>
            <w:vAlign w:val="center"/>
          </w:tcPr>
          <w:p w14:paraId="3F41D9D2">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Permanent</w:t>
            </w:r>
          </w:p>
        </w:tc>
        <w:tc>
          <w:tcPr>
            <w:tcW w:w="1986" w:type="dxa"/>
            <w:vAlign w:val="center"/>
          </w:tcPr>
          <w:p w14:paraId="5C4E239B">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 xml:space="preserve"> Serviciul ftiziopneumologie.</w:t>
            </w:r>
          </w:p>
        </w:tc>
      </w:tr>
      <w:tr w14:paraId="36956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3" w:type="dxa"/>
            <w:vAlign w:val="center"/>
          </w:tcPr>
          <w:p w14:paraId="19C631ED">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14.</w:t>
            </w:r>
          </w:p>
        </w:tc>
        <w:tc>
          <w:tcPr>
            <w:tcW w:w="6005" w:type="dxa"/>
            <w:vAlign w:val="center"/>
          </w:tcPr>
          <w:p w14:paraId="63760DB6">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Informarea imediată a serviciului specializat de ambulator privind  abandonul și complicațiile, care pot apărea în timpul tratamentului antituberculos.</w:t>
            </w:r>
          </w:p>
        </w:tc>
        <w:tc>
          <w:tcPr>
            <w:tcW w:w="1474" w:type="dxa"/>
            <w:vAlign w:val="center"/>
          </w:tcPr>
          <w:p w14:paraId="42F8FD4C">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Permanent</w:t>
            </w:r>
          </w:p>
        </w:tc>
        <w:tc>
          <w:tcPr>
            <w:tcW w:w="1986" w:type="dxa"/>
            <w:vAlign w:val="center"/>
          </w:tcPr>
          <w:p w14:paraId="651A21F3">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Echipele medicilor de familie,Serviciul ftiziopneumologie</w:t>
            </w:r>
          </w:p>
        </w:tc>
      </w:tr>
      <w:tr w14:paraId="43CC0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3" w:type="dxa"/>
            <w:vAlign w:val="center"/>
          </w:tcPr>
          <w:p w14:paraId="1C0BD2BB">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15.</w:t>
            </w:r>
          </w:p>
        </w:tc>
        <w:tc>
          <w:tcPr>
            <w:tcW w:w="6005" w:type="dxa"/>
            <w:vAlign w:val="center"/>
          </w:tcPr>
          <w:p w14:paraId="0CA007AF">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Pacienților cu întreruperea tratamentului de efectuat consilierea psihologică și instruirea pacientului prin programe educaționale.</w:t>
            </w:r>
          </w:p>
        </w:tc>
        <w:tc>
          <w:tcPr>
            <w:tcW w:w="1474" w:type="dxa"/>
            <w:vAlign w:val="center"/>
          </w:tcPr>
          <w:p w14:paraId="72537D71">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Permanent</w:t>
            </w:r>
          </w:p>
        </w:tc>
        <w:tc>
          <w:tcPr>
            <w:tcW w:w="1986" w:type="dxa"/>
            <w:vAlign w:val="center"/>
          </w:tcPr>
          <w:p w14:paraId="0F80305D">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Serviciul ftiziopneumologie Psiholog</w:t>
            </w:r>
          </w:p>
        </w:tc>
      </w:tr>
      <w:tr w14:paraId="61A35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3" w:type="dxa"/>
            <w:vAlign w:val="center"/>
          </w:tcPr>
          <w:p w14:paraId="05AFF2AA">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16.</w:t>
            </w:r>
          </w:p>
        </w:tc>
        <w:tc>
          <w:tcPr>
            <w:tcW w:w="6005" w:type="dxa"/>
            <w:vAlign w:val="center"/>
          </w:tcPr>
          <w:p w14:paraId="49FD16B5">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Desfășurarea campaniilor de informare, educare, comunicare pentru populație prin  intermediul mass-media locală.</w:t>
            </w:r>
          </w:p>
        </w:tc>
        <w:tc>
          <w:tcPr>
            <w:tcW w:w="1474" w:type="dxa"/>
            <w:vAlign w:val="center"/>
          </w:tcPr>
          <w:p w14:paraId="0D5D0B61">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Permanent</w:t>
            </w:r>
          </w:p>
        </w:tc>
        <w:tc>
          <w:tcPr>
            <w:tcW w:w="1986" w:type="dxa"/>
            <w:vAlign w:val="center"/>
          </w:tcPr>
          <w:p w14:paraId="458A31C0">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Echipele medicilor de familie Serviciul ftiziopneumologiee</w:t>
            </w:r>
          </w:p>
        </w:tc>
      </w:tr>
      <w:tr w14:paraId="2F22B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3" w:type="dxa"/>
            <w:vAlign w:val="center"/>
          </w:tcPr>
          <w:p w14:paraId="53678719">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17.</w:t>
            </w:r>
          </w:p>
        </w:tc>
        <w:tc>
          <w:tcPr>
            <w:tcW w:w="6005" w:type="dxa"/>
            <w:vAlign w:val="center"/>
          </w:tcPr>
          <w:p w14:paraId="45B6B335">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Informarea populației privind efectele negative a  abuzului de alcool, tutunului, drogurilor și a altor deprinderi vicioase. Promovarea unui mod sănătos de viață.</w:t>
            </w:r>
          </w:p>
        </w:tc>
        <w:tc>
          <w:tcPr>
            <w:tcW w:w="1474" w:type="dxa"/>
            <w:vAlign w:val="center"/>
          </w:tcPr>
          <w:p w14:paraId="0D05CC07">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Permanent</w:t>
            </w:r>
          </w:p>
        </w:tc>
        <w:tc>
          <w:tcPr>
            <w:tcW w:w="1986" w:type="dxa"/>
            <w:vAlign w:val="center"/>
          </w:tcPr>
          <w:p w14:paraId="3270DEDE">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Echipele medicilor de familie, medicul narcolog</w:t>
            </w:r>
          </w:p>
        </w:tc>
      </w:tr>
      <w:tr w14:paraId="5B4A1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3" w:type="dxa"/>
            <w:vAlign w:val="center"/>
          </w:tcPr>
          <w:p w14:paraId="620FB5A5">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18.</w:t>
            </w:r>
          </w:p>
        </w:tc>
        <w:tc>
          <w:tcPr>
            <w:tcW w:w="6005" w:type="dxa"/>
            <w:vAlign w:val="center"/>
          </w:tcPr>
          <w:p w14:paraId="0FB85768">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Spitalizarea bolnavilor baciliferi cît mai urgent și micșorarea contactului pacientului cu alte persoane.</w:t>
            </w:r>
          </w:p>
        </w:tc>
        <w:tc>
          <w:tcPr>
            <w:tcW w:w="1474" w:type="dxa"/>
            <w:vAlign w:val="center"/>
          </w:tcPr>
          <w:p w14:paraId="2DFDE9CE">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Permanent</w:t>
            </w:r>
          </w:p>
        </w:tc>
        <w:tc>
          <w:tcPr>
            <w:tcW w:w="1986" w:type="dxa"/>
            <w:vAlign w:val="center"/>
          </w:tcPr>
          <w:p w14:paraId="00FF4015">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IMSP CS Sîngerei</w:t>
            </w:r>
          </w:p>
        </w:tc>
      </w:tr>
      <w:tr w14:paraId="57583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3" w:type="dxa"/>
            <w:vAlign w:val="center"/>
          </w:tcPr>
          <w:p w14:paraId="44EB6FE5">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19.</w:t>
            </w:r>
          </w:p>
        </w:tc>
        <w:tc>
          <w:tcPr>
            <w:tcW w:w="6005" w:type="dxa"/>
            <w:vAlign w:val="center"/>
          </w:tcPr>
          <w:p w14:paraId="1730835A">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Efectuarea măsurilor antiepidemice în focarele de tuberculoză și examinarea contacților din focar, luînd în vedere copiii până la 5 ani.</w:t>
            </w:r>
          </w:p>
        </w:tc>
        <w:tc>
          <w:tcPr>
            <w:tcW w:w="1474" w:type="dxa"/>
            <w:vAlign w:val="center"/>
          </w:tcPr>
          <w:p w14:paraId="3B2BE166">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Permanent</w:t>
            </w:r>
          </w:p>
        </w:tc>
        <w:tc>
          <w:tcPr>
            <w:tcW w:w="1986" w:type="dxa"/>
            <w:vAlign w:val="center"/>
          </w:tcPr>
          <w:p w14:paraId="1D72C765">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Echipele medicilor de familie ,CSP, Serviciul ftiziopneumologiee</w:t>
            </w:r>
          </w:p>
        </w:tc>
      </w:tr>
      <w:tr w14:paraId="66B2E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3" w:type="dxa"/>
            <w:vAlign w:val="center"/>
          </w:tcPr>
          <w:p w14:paraId="6D3C266D">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20.</w:t>
            </w:r>
          </w:p>
        </w:tc>
        <w:tc>
          <w:tcPr>
            <w:tcW w:w="6005" w:type="dxa"/>
            <w:vAlign w:val="center"/>
          </w:tcPr>
          <w:p w14:paraId="379B10C5">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Efectuarea chimioprofilaxiei copiilor și adolescenților până la vîrsta de 18 ani din focarele TBC.</w:t>
            </w:r>
          </w:p>
        </w:tc>
        <w:tc>
          <w:tcPr>
            <w:tcW w:w="1474" w:type="dxa"/>
            <w:vAlign w:val="center"/>
          </w:tcPr>
          <w:p w14:paraId="52DF2211">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Permanent</w:t>
            </w:r>
          </w:p>
        </w:tc>
        <w:tc>
          <w:tcPr>
            <w:tcW w:w="1986" w:type="dxa"/>
            <w:vAlign w:val="center"/>
          </w:tcPr>
          <w:p w14:paraId="552AD179">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Echipele medicilor de familie,Serviciul ftiziopneumologiee</w:t>
            </w:r>
          </w:p>
        </w:tc>
      </w:tr>
      <w:tr w14:paraId="1F405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3" w:type="dxa"/>
            <w:vAlign w:val="center"/>
          </w:tcPr>
          <w:p w14:paraId="793AA489">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21.</w:t>
            </w:r>
          </w:p>
        </w:tc>
        <w:tc>
          <w:tcPr>
            <w:tcW w:w="6005" w:type="dxa"/>
            <w:vAlign w:val="center"/>
          </w:tcPr>
          <w:p w14:paraId="59C71AEC">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Vaccinarea noi născuților în maternitate cu vaccinul BCG pînă la 95,0% și monitorizarea reacțiilor postvacinale.</w:t>
            </w:r>
          </w:p>
        </w:tc>
        <w:tc>
          <w:tcPr>
            <w:tcW w:w="1474" w:type="dxa"/>
            <w:vAlign w:val="center"/>
          </w:tcPr>
          <w:p w14:paraId="4660B304">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Permanent</w:t>
            </w:r>
          </w:p>
        </w:tc>
        <w:tc>
          <w:tcPr>
            <w:tcW w:w="1986" w:type="dxa"/>
            <w:vAlign w:val="center"/>
          </w:tcPr>
          <w:p w14:paraId="06C06DC8">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CSP,Serviciul ftiziopneumologie</w:t>
            </w:r>
          </w:p>
        </w:tc>
      </w:tr>
      <w:tr w14:paraId="3DDBC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3" w:type="dxa"/>
            <w:vAlign w:val="center"/>
          </w:tcPr>
          <w:p w14:paraId="0243DD06">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22.</w:t>
            </w:r>
          </w:p>
        </w:tc>
        <w:tc>
          <w:tcPr>
            <w:tcW w:w="6005" w:type="dxa"/>
            <w:vAlign w:val="center"/>
          </w:tcPr>
          <w:p w14:paraId="0082E535">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A asigura colaborarea cu rețeaua lucrătorilor sociali pentru acoperirea cu servicii a păturilor  vulnerabile ale populației, inclusiv implicarea acestora în depistarea tuberculozei.</w:t>
            </w:r>
          </w:p>
        </w:tc>
        <w:tc>
          <w:tcPr>
            <w:tcW w:w="1474" w:type="dxa"/>
            <w:vAlign w:val="center"/>
          </w:tcPr>
          <w:p w14:paraId="389FD44F">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Permanent</w:t>
            </w:r>
          </w:p>
        </w:tc>
        <w:tc>
          <w:tcPr>
            <w:tcW w:w="1986" w:type="dxa"/>
            <w:vAlign w:val="center"/>
          </w:tcPr>
          <w:p w14:paraId="66A0B20F">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APL</w:t>
            </w:r>
          </w:p>
        </w:tc>
      </w:tr>
      <w:tr w14:paraId="55FFF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3" w:type="dxa"/>
            <w:vAlign w:val="center"/>
          </w:tcPr>
          <w:p w14:paraId="4BA491DF">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24.</w:t>
            </w:r>
          </w:p>
        </w:tc>
        <w:tc>
          <w:tcPr>
            <w:tcW w:w="6005" w:type="dxa"/>
            <w:vAlign w:val="center"/>
          </w:tcPr>
          <w:p w14:paraId="037CE7BD">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Alocarea de catre Consiliul Raional a finanțelor pentru procurarea a preparatelor pentru tratamentul reacțiilor adverse la pacienții care primesc tratament antituberculos în condiții de ambulator și a preparatelor hepatoprotectoare.</w:t>
            </w:r>
          </w:p>
        </w:tc>
        <w:tc>
          <w:tcPr>
            <w:tcW w:w="1474" w:type="dxa"/>
            <w:vAlign w:val="center"/>
          </w:tcPr>
          <w:p w14:paraId="69D2FB53">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Anual.</w:t>
            </w:r>
          </w:p>
        </w:tc>
        <w:tc>
          <w:tcPr>
            <w:tcW w:w="1986" w:type="dxa"/>
            <w:vAlign w:val="center"/>
          </w:tcPr>
          <w:p w14:paraId="5E008BCC">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Consilul Raional</w:t>
            </w:r>
          </w:p>
        </w:tc>
      </w:tr>
      <w:tr w14:paraId="7AB1E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3" w:type="dxa"/>
            <w:vAlign w:val="center"/>
          </w:tcPr>
          <w:p w14:paraId="5812E4DC">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25.</w:t>
            </w:r>
          </w:p>
        </w:tc>
        <w:tc>
          <w:tcPr>
            <w:tcW w:w="6005" w:type="dxa"/>
            <w:vAlign w:val="center"/>
          </w:tcPr>
          <w:p w14:paraId="67E2AB74">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Implicarea în tratamentul pacienților cu tuberculoză a APL, AS, Comisariatului de Poliție, polițiștilor de sector, ONG-urilor.</w:t>
            </w:r>
          </w:p>
        </w:tc>
        <w:tc>
          <w:tcPr>
            <w:tcW w:w="1474" w:type="dxa"/>
            <w:vAlign w:val="center"/>
          </w:tcPr>
          <w:p w14:paraId="7DD871AE">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Permanent</w:t>
            </w:r>
          </w:p>
        </w:tc>
        <w:tc>
          <w:tcPr>
            <w:tcW w:w="1986" w:type="dxa"/>
            <w:vAlign w:val="center"/>
          </w:tcPr>
          <w:p w14:paraId="738E19AB">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 xml:space="preserve">APL.STAS, </w:t>
            </w:r>
          </w:p>
          <w:p w14:paraId="2D7B9FE5">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Inspectoratul de Poliție</w:t>
            </w:r>
          </w:p>
        </w:tc>
      </w:tr>
      <w:tr w14:paraId="32A90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3" w:type="dxa"/>
            <w:vAlign w:val="center"/>
          </w:tcPr>
          <w:p w14:paraId="1619C530">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26</w:t>
            </w:r>
          </w:p>
        </w:tc>
        <w:tc>
          <w:tcPr>
            <w:tcW w:w="6005" w:type="dxa"/>
            <w:vAlign w:val="center"/>
          </w:tcPr>
          <w:p w14:paraId="75AE6E1E">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A motiva pacienții aflați în tratament prin suport social, acordarea stimulentelor și consilierea psihologică în scopul aderenței la tratament.</w:t>
            </w:r>
          </w:p>
        </w:tc>
        <w:tc>
          <w:tcPr>
            <w:tcW w:w="1474" w:type="dxa"/>
            <w:vAlign w:val="center"/>
          </w:tcPr>
          <w:p w14:paraId="3FC37121">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Permanent</w:t>
            </w:r>
          </w:p>
        </w:tc>
        <w:tc>
          <w:tcPr>
            <w:tcW w:w="1986" w:type="dxa"/>
            <w:vAlign w:val="center"/>
          </w:tcPr>
          <w:p w14:paraId="47D7DF1F">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CNAM</w:t>
            </w:r>
          </w:p>
          <w:p w14:paraId="3F9783D3">
            <w:pPr>
              <w:tabs>
                <w:tab w:val="left" w:pos="7215"/>
              </w:tabs>
              <w:jc w:val="both"/>
              <w:rPr>
                <w:rFonts w:eastAsia="Times New Roman" w:cs="Times New Roman"/>
                <w:sz w:val="24"/>
                <w:szCs w:val="24"/>
                <w:lang w:val="fr-FR" w:eastAsia="ru-RU"/>
              </w:rPr>
            </w:pPr>
          </w:p>
        </w:tc>
      </w:tr>
      <w:tr w14:paraId="59B32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3" w:type="dxa"/>
            <w:vAlign w:val="center"/>
          </w:tcPr>
          <w:p w14:paraId="1A9068C7">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27.</w:t>
            </w:r>
          </w:p>
        </w:tc>
        <w:tc>
          <w:tcPr>
            <w:tcW w:w="6005" w:type="dxa"/>
            <w:vAlign w:val="center"/>
          </w:tcPr>
          <w:p w14:paraId="31104AC6">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Efectuarea vizitelor la Centrele de Sănătate pentru asigurarea măsurilor antiepidemice și de profilaxie în focare în comun cu medicii de familie.</w:t>
            </w:r>
          </w:p>
        </w:tc>
        <w:tc>
          <w:tcPr>
            <w:tcW w:w="1474" w:type="dxa"/>
            <w:vAlign w:val="center"/>
          </w:tcPr>
          <w:p w14:paraId="59115569">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Lunar și la necesitate</w:t>
            </w:r>
          </w:p>
        </w:tc>
        <w:tc>
          <w:tcPr>
            <w:tcW w:w="1986" w:type="dxa"/>
            <w:vAlign w:val="center"/>
          </w:tcPr>
          <w:p w14:paraId="090681ED">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Serviciul ftiziopneumologic.</w:t>
            </w:r>
          </w:p>
        </w:tc>
      </w:tr>
      <w:tr w14:paraId="3F205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3" w:type="dxa"/>
            <w:vAlign w:val="center"/>
          </w:tcPr>
          <w:p w14:paraId="47EC68C5">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28.</w:t>
            </w:r>
          </w:p>
        </w:tc>
        <w:tc>
          <w:tcPr>
            <w:tcW w:w="6005" w:type="dxa"/>
            <w:vAlign w:val="center"/>
          </w:tcPr>
          <w:p w14:paraId="537C2C20">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Acordarea ajutorului social de către Primării și Asistenței Sociale pentru menținerea pacienților în tratament.</w:t>
            </w:r>
          </w:p>
        </w:tc>
        <w:tc>
          <w:tcPr>
            <w:tcW w:w="1474" w:type="dxa"/>
            <w:vAlign w:val="center"/>
          </w:tcPr>
          <w:p w14:paraId="5DB5AA4E">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La necesitate</w:t>
            </w:r>
          </w:p>
        </w:tc>
        <w:tc>
          <w:tcPr>
            <w:tcW w:w="1986" w:type="dxa"/>
            <w:vAlign w:val="center"/>
          </w:tcPr>
          <w:p w14:paraId="1D5354A5">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APL,</w:t>
            </w:r>
          </w:p>
          <w:p w14:paraId="20E2FD68">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STAS</w:t>
            </w:r>
          </w:p>
        </w:tc>
      </w:tr>
      <w:tr w14:paraId="63B2A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3" w:type="dxa"/>
            <w:vAlign w:val="center"/>
          </w:tcPr>
          <w:p w14:paraId="56174764">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29.</w:t>
            </w:r>
          </w:p>
        </w:tc>
        <w:tc>
          <w:tcPr>
            <w:tcW w:w="6005" w:type="dxa"/>
            <w:vAlign w:val="center"/>
          </w:tcPr>
          <w:p w14:paraId="561AAB22">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Atingerea ratei de succes la tuberculoza sensibilă cel puțin 90% - 95% pînă în 2030.</w:t>
            </w:r>
          </w:p>
        </w:tc>
        <w:tc>
          <w:tcPr>
            <w:tcW w:w="1474" w:type="dxa"/>
            <w:vAlign w:val="center"/>
          </w:tcPr>
          <w:p w14:paraId="58240F17">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Permanent</w:t>
            </w:r>
          </w:p>
        </w:tc>
        <w:tc>
          <w:tcPr>
            <w:tcW w:w="1986" w:type="dxa"/>
            <w:vAlign w:val="center"/>
          </w:tcPr>
          <w:p w14:paraId="7A63DA17">
            <w:pPr>
              <w:tabs>
                <w:tab w:val="left" w:pos="7215"/>
              </w:tabs>
              <w:jc w:val="both"/>
              <w:rPr>
                <w:rFonts w:eastAsia="Times New Roman" w:cs="Times New Roman"/>
                <w:sz w:val="24"/>
                <w:szCs w:val="24"/>
                <w:lang w:val="fr-FR" w:eastAsia="ru-RU"/>
              </w:rPr>
            </w:pPr>
            <w:r>
              <w:rPr>
                <w:rFonts w:cs="Times New Roman"/>
                <w:sz w:val="24"/>
                <w:szCs w:val="24"/>
              </w:rPr>
              <w:t>Echipele medicilor  de familie</w:t>
            </w:r>
            <w:r>
              <w:rPr>
                <w:rFonts w:eastAsia="Times New Roman" w:cs="Times New Roman"/>
                <w:sz w:val="24"/>
                <w:szCs w:val="24"/>
                <w:lang w:val="fr-FR" w:eastAsia="ru-RU"/>
              </w:rPr>
              <w:t>, Serviciul ftiziopneumologie</w:t>
            </w:r>
          </w:p>
        </w:tc>
      </w:tr>
      <w:tr w14:paraId="789DA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3" w:type="dxa"/>
            <w:vAlign w:val="center"/>
          </w:tcPr>
          <w:p w14:paraId="575A13F4">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30.</w:t>
            </w:r>
          </w:p>
        </w:tc>
        <w:tc>
          <w:tcPr>
            <w:tcW w:w="6005" w:type="dxa"/>
            <w:vAlign w:val="center"/>
          </w:tcPr>
          <w:p w14:paraId="35BC603E">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Atingerea ratei de succes a tuberculozei multidrogrezistente cel puțin 85% din cazurile noi.</w:t>
            </w:r>
          </w:p>
        </w:tc>
        <w:tc>
          <w:tcPr>
            <w:tcW w:w="1474" w:type="dxa"/>
            <w:vAlign w:val="center"/>
          </w:tcPr>
          <w:p w14:paraId="16C4F3E2">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Permanent</w:t>
            </w:r>
          </w:p>
        </w:tc>
        <w:tc>
          <w:tcPr>
            <w:tcW w:w="1986" w:type="dxa"/>
            <w:vAlign w:val="center"/>
          </w:tcPr>
          <w:p w14:paraId="1CCCD1E9">
            <w:pPr>
              <w:tabs>
                <w:tab w:val="left" w:pos="7215"/>
              </w:tabs>
              <w:jc w:val="both"/>
              <w:rPr>
                <w:rFonts w:eastAsia="Times New Roman" w:cs="Times New Roman"/>
                <w:sz w:val="24"/>
                <w:szCs w:val="24"/>
                <w:lang w:val="fr-FR" w:eastAsia="ru-RU"/>
              </w:rPr>
            </w:pPr>
            <w:r>
              <w:rPr>
                <w:rFonts w:cs="Times New Roman"/>
                <w:sz w:val="24"/>
                <w:szCs w:val="24"/>
              </w:rPr>
              <w:t>Echipele medicilor  de familie</w:t>
            </w:r>
            <w:r>
              <w:rPr>
                <w:rFonts w:eastAsia="Times New Roman" w:cs="Times New Roman"/>
                <w:sz w:val="24"/>
                <w:szCs w:val="24"/>
                <w:lang w:val="fr-FR" w:eastAsia="ru-RU"/>
              </w:rPr>
              <w:t>, Serviciul ftiziopneumologie.</w:t>
            </w:r>
          </w:p>
        </w:tc>
      </w:tr>
      <w:tr w14:paraId="53235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3" w:type="dxa"/>
            <w:vAlign w:val="center"/>
          </w:tcPr>
          <w:p w14:paraId="52810CCF">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31.</w:t>
            </w:r>
          </w:p>
        </w:tc>
        <w:tc>
          <w:tcPr>
            <w:tcW w:w="6005" w:type="dxa"/>
            <w:vAlign w:val="center"/>
          </w:tcPr>
          <w:p w14:paraId="3BD53472">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Cuprinderea cu tratament preventiv pentru tuberculoză din rîndul contacților intradomiciliari 100% și apropiați 95%.</w:t>
            </w:r>
          </w:p>
        </w:tc>
        <w:tc>
          <w:tcPr>
            <w:tcW w:w="1474" w:type="dxa"/>
            <w:vAlign w:val="center"/>
          </w:tcPr>
          <w:p w14:paraId="7D49CBAF">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Permanent</w:t>
            </w:r>
          </w:p>
        </w:tc>
        <w:tc>
          <w:tcPr>
            <w:tcW w:w="1986" w:type="dxa"/>
            <w:vAlign w:val="center"/>
          </w:tcPr>
          <w:p w14:paraId="1317E35A">
            <w:pPr>
              <w:tabs>
                <w:tab w:val="left" w:pos="7215"/>
              </w:tabs>
              <w:jc w:val="both"/>
              <w:rPr>
                <w:rFonts w:eastAsia="Times New Roman" w:cs="Times New Roman"/>
                <w:sz w:val="24"/>
                <w:szCs w:val="24"/>
                <w:lang w:val="fr-FR" w:eastAsia="ru-RU"/>
              </w:rPr>
            </w:pPr>
            <w:r>
              <w:rPr>
                <w:rFonts w:cs="Times New Roman"/>
                <w:sz w:val="24"/>
                <w:szCs w:val="24"/>
              </w:rPr>
              <w:t>Echipele medicilor  de familie</w:t>
            </w:r>
            <w:r>
              <w:rPr>
                <w:rFonts w:eastAsia="Times New Roman" w:cs="Times New Roman"/>
                <w:sz w:val="24"/>
                <w:szCs w:val="24"/>
                <w:lang w:val="fr-FR" w:eastAsia="ru-RU"/>
              </w:rPr>
              <w:t>,</w:t>
            </w:r>
          </w:p>
          <w:p w14:paraId="1679A108">
            <w:pPr>
              <w:tabs>
                <w:tab w:val="left" w:pos="7215"/>
              </w:tabs>
              <w:jc w:val="both"/>
              <w:rPr>
                <w:rFonts w:eastAsia="Times New Roman" w:cs="Times New Roman"/>
                <w:sz w:val="24"/>
                <w:szCs w:val="24"/>
                <w:lang w:val="fr-FR" w:eastAsia="ru-RU"/>
              </w:rPr>
            </w:pPr>
            <w:r>
              <w:rPr>
                <w:rFonts w:eastAsia="Times New Roman" w:cs="Times New Roman"/>
                <w:sz w:val="24"/>
                <w:szCs w:val="24"/>
                <w:lang w:val="fr-FR" w:eastAsia="ru-RU"/>
              </w:rPr>
              <w:t>Serviciul ftiziopneumologie.</w:t>
            </w:r>
          </w:p>
        </w:tc>
      </w:tr>
      <w:tr w14:paraId="32BE8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3" w:type="dxa"/>
            <w:vAlign w:val="center"/>
          </w:tcPr>
          <w:p w14:paraId="0F0A5F64">
            <w:pPr>
              <w:jc w:val="both"/>
              <w:rPr>
                <w:rFonts w:cs="Times New Roman"/>
                <w:sz w:val="24"/>
                <w:szCs w:val="24"/>
              </w:rPr>
            </w:pPr>
            <w:r>
              <w:rPr>
                <w:rFonts w:cs="Times New Roman"/>
                <w:sz w:val="24"/>
                <w:szCs w:val="24"/>
              </w:rPr>
              <w:t>32.</w:t>
            </w:r>
          </w:p>
        </w:tc>
        <w:tc>
          <w:tcPr>
            <w:tcW w:w="6005" w:type="dxa"/>
            <w:vAlign w:val="center"/>
          </w:tcPr>
          <w:p w14:paraId="1BFA2ED6">
            <w:pPr>
              <w:jc w:val="both"/>
              <w:rPr>
                <w:rFonts w:cs="Times New Roman"/>
                <w:sz w:val="24"/>
                <w:szCs w:val="24"/>
              </w:rPr>
            </w:pPr>
            <w:r>
              <w:rPr>
                <w:rFonts w:cs="Times New Roman"/>
                <w:sz w:val="24"/>
                <w:szCs w:val="24"/>
              </w:rPr>
              <w:t>Asigurarea Serviciului Serviciul ftiziopneumologiec raional cu spații/încăperi adecvate desfășurării activității, corespunzătoare cerințelor sanitar-igienice, funcționale, de prevenire și control al infecțiilor, inclusiv pentru consultații, examinare, recoltarea probelor și păstrarea documentației medicale.</w:t>
            </w:r>
          </w:p>
        </w:tc>
        <w:tc>
          <w:tcPr>
            <w:tcW w:w="1474" w:type="dxa"/>
            <w:vAlign w:val="center"/>
          </w:tcPr>
          <w:p w14:paraId="67E3815C">
            <w:pPr>
              <w:jc w:val="both"/>
              <w:rPr>
                <w:rFonts w:cs="Times New Roman"/>
                <w:sz w:val="24"/>
                <w:szCs w:val="24"/>
              </w:rPr>
            </w:pPr>
            <w:r>
              <w:rPr>
                <w:rFonts w:cs="Times New Roman"/>
                <w:sz w:val="24"/>
                <w:szCs w:val="24"/>
              </w:rPr>
              <w:t>2026–2027</w:t>
            </w:r>
          </w:p>
        </w:tc>
        <w:tc>
          <w:tcPr>
            <w:tcW w:w="1986" w:type="dxa"/>
            <w:vAlign w:val="center"/>
          </w:tcPr>
          <w:p w14:paraId="1DE69A6A">
            <w:pPr>
              <w:jc w:val="both"/>
              <w:rPr>
                <w:rFonts w:cs="Times New Roman"/>
                <w:sz w:val="24"/>
                <w:szCs w:val="24"/>
              </w:rPr>
            </w:pPr>
            <w:r>
              <w:rPr>
                <w:rFonts w:cs="Times New Roman"/>
                <w:sz w:val="24"/>
                <w:szCs w:val="24"/>
              </w:rPr>
              <w:t>Consiliul Raional Sîngerei; IMSP CS Sîngerei;alte instituții competente</w:t>
            </w:r>
          </w:p>
        </w:tc>
      </w:tr>
      <w:tr w14:paraId="31A4F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3" w:type="dxa"/>
            <w:vAlign w:val="center"/>
          </w:tcPr>
          <w:p w14:paraId="537C1452">
            <w:pPr>
              <w:jc w:val="both"/>
              <w:rPr>
                <w:rFonts w:cs="Times New Roman"/>
                <w:sz w:val="24"/>
                <w:szCs w:val="24"/>
              </w:rPr>
            </w:pPr>
            <w:r>
              <w:rPr>
                <w:rFonts w:cs="Times New Roman"/>
                <w:sz w:val="24"/>
                <w:szCs w:val="24"/>
              </w:rPr>
              <w:t>33.</w:t>
            </w:r>
          </w:p>
        </w:tc>
        <w:tc>
          <w:tcPr>
            <w:tcW w:w="6005" w:type="dxa"/>
            <w:vAlign w:val="center"/>
          </w:tcPr>
          <w:p w14:paraId="5A246BAC">
            <w:pPr>
              <w:jc w:val="both"/>
              <w:rPr>
                <w:rFonts w:cs="Times New Roman"/>
                <w:sz w:val="24"/>
                <w:szCs w:val="24"/>
              </w:rPr>
            </w:pPr>
            <w:r>
              <w:rPr>
                <w:rFonts w:cs="Times New Roman"/>
                <w:sz w:val="24"/>
                <w:szCs w:val="24"/>
              </w:rPr>
              <w:t>Identificarea surselor de finanțare și procurarea/instalarea unui aparat radiologic digital performant pentru diagnosticul și screeningul patologiei pulmonare, cu asigurarea autorizării, radioprotecției, mentenanței și instruirii personalului.</w:t>
            </w:r>
          </w:p>
        </w:tc>
        <w:tc>
          <w:tcPr>
            <w:tcW w:w="1474" w:type="dxa"/>
            <w:vAlign w:val="center"/>
          </w:tcPr>
          <w:p w14:paraId="4243962D">
            <w:pPr>
              <w:jc w:val="both"/>
              <w:rPr>
                <w:rFonts w:cs="Times New Roman"/>
                <w:sz w:val="24"/>
                <w:szCs w:val="24"/>
              </w:rPr>
            </w:pPr>
            <w:r>
              <w:rPr>
                <w:rFonts w:cs="Times New Roman"/>
                <w:sz w:val="24"/>
                <w:szCs w:val="24"/>
              </w:rPr>
              <w:t>2026–2028</w:t>
            </w:r>
          </w:p>
        </w:tc>
        <w:tc>
          <w:tcPr>
            <w:tcW w:w="1986" w:type="dxa"/>
            <w:vAlign w:val="center"/>
          </w:tcPr>
          <w:p w14:paraId="35E51D61">
            <w:pPr>
              <w:jc w:val="both"/>
              <w:rPr>
                <w:rFonts w:cs="Times New Roman"/>
                <w:sz w:val="24"/>
                <w:szCs w:val="24"/>
              </w:rPr>
            </w:pPr>
            <w:r>
              <w:rPr>
                <w:rFonts w:cs="Times New Roman"/>
                <w:sz w:val="24"/>
                <w:szCs w:val="24"/>
              </w:rPr>
              <w:t>Consiliul Raional Sîngerei; IMSP CS Sîngerei; Ministerul Sănătății/CNAM – conform competențelor; parteneri de dezvoltare</w:t>
            </w:r>
          </w:p>
        </w:tc>
      </w:tr>
      <w:tr w14:paraId="7FF14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3" w:type="dxa"/>
            <w:vAlign w:val="center"/>
          </w:tcPr>
          <w:p w14:paraId="204C1E11">
            <w:pPr>
              <w:jc w:val="both"/>
              <w:rPr>
                <w:rFonts w:cs="Times New Roman"/>
                <w:sz w:val="24"/>
                <w:szCs w:val="24"/>
              </w:rPr>
            </w:pPr>
            <w:r>
              <w:rPr>
                <w:rFonts w:cs="Times New Roman"/>
                <w:sz w:val="24"/>
                <w:szCs w:val="24"/>
              </w:rPr>
              <w:t>34.</w:t>
            </w:r>
          </w:p>
        </w:tc>
        <w:tc>
          <w:tcPr>
            <w:tcW w:w="6005" w:type="dxa"/>
            <w:vAlign w:val="center"/>
          </w:tcPr>
          <w:p w14:paraId="232A3E01">
            <w:pPr>
              <w:jc w:val="both"/>
              <w:rPr>
                <w:rFonts w:cs="Times New Roman"/>
                <w:sz w:val="24"/>
                <w:szCs w:val="24"/>
              </w:rPr>
            </w:pPr>
            <w:r>
              <w:rPr>
                <w:rFonts w:cs="Times New Roman"/>
                <w:sz w:val="24"/>
                <w:szCs w:val="24"/>
              </w:rPr>
              <w:t>Asigurarea accesului anual la screening radiologic pentru cel puțin 90% dintre persoanele din grupurile cu risc sporit și contacții eligibili, inclusiv prin soluții mobile/contractuale până la funcționalizarea capacității radiologice proprii.</w:t>
            </w:r>
          </w:p>
        </w:tc>
        <w:tc>
          <w:tcPr>
            <w:tcW w:w="1474" w:type="dxa"/>
            <w:vAlign w:val="center"/>
          </w:tcPr>
          <w:p w14:paraId="26997F50">
            <w:pPr>
              <w:jc w:val="both"/>
              <w:rPr>
                <w:rFonts w:cs="Times New Roman"/>
                <w:sz w:val="24"/>
                <w:szCs w:val="24"/>
              </w:rPr>
            </w:pPr>
            <w:r>
              <w:rPr>
                <w:rFonts w:cs="Times New Roman"/>
                <w:sz w:val="24"/>
                <w:szCs w:val="24"/>
              </w:rPr>
              <w:t>Anual, 2026–2030</w:t>
            </w:r>
          </w:p>
        </w:tc>
        <w:tc>
          <w:tcPr>
            <w:tcW w:w="1986" w:type="dxa"/>
            <w:vAlign w:val="center"/>
          </w:tcPr>
          <w:p w14:paraId="69B5D675">
            <w:pPr>
              <w:jc w:val="both"/>
              <w:rPr>
                <w:rFonts w:cs="Times New Roman"/>
                <w:sz w:val="24"/>
                <w:szCs w:val="24"/>
              </w:rPr>
            </w:pPr>
            <w:r>
              <w:rPr>
                <w:rFonts w:cs="Times New Roman"/>
                <w:sz w:val="24"/>
                <w:szCs w:val="24"/>
              </w:rPr>
              <w:t>IMSP Centre de Sănătate;Serviciul ftiziopneumologic; Consiliul Raional</w:t>
            </w:r>
          </w:p>
        </w:tc>
      </w:tr>
      <w:tr w14:paraId="59501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3" w:type="dxa"/>
            <w:vAlign w:val="center"/>
          </w:tcPr>
          <w:p w14:paraId="6574A7F6">
            <w:pPr>
              <w:jc w:val="both"/>
              <w:rPr>
                <w:rFonts w:cs="Times New Roman"/>
                <w:sz w:val="24"/>
                <w:szCs w:val="24"/>
              </w:rPr>
            </w:pPr>
            <w:r>
              <w:rPr>
                <w:rFonts w:cs="Times New Roman"/>
                <w:sz w:val="24"/>
                <w:szCs w:val="24"/>
              </w:rPr>
              <w:t>35.</w:t>
            </w:r>
          </w:p>
        </w:tc>
        <w:tc>
          <w:tcPr>
            <w:tcW w:w="6005" w:type="dxa"/>
            <w:vAlign w:val="center"/>
          </w:tcPr>
          <w:p w14:paraId="475C6534">
            <w:pPr>
              <w:jc w:val="both"/>
              <w:rPr>
                <w:rFonts w:cs="Times New Roman"/>
                <w:sz w:val="24"/>
                <w:szCs w:val="24"/>
              </w:rPr>
            </w:pPr>
            <w:r>
              <w:rPr>
                <w:rFonts w:cs="Times New Roman"/>
                <w:sz w:val="24"/>
                <w:szCs w:val="24"/>
              </w:rPr>
              <w:t>Identificarea, evaluarea și inițierea tratamentului preventiv al tuberculozei la cel puțin 90% dintre persoanele eligibile și asigurarea finalizării tratamentului preventiv la minimum 90% dintre cei inițiați, conform protocoalelor clinice naționale.</w:t>
            </w:r>
          </w:p>
        </w:tc>
        <w:tc>
          <w:tcPr>
            <w:tcW w:w="1474" w:type="dxa"/>
            <w:vAlign w:val="center"/>
          </w:tcPr>
          <w:p w14:paraId="3EA357C1">
            <w:pPr>
              <w:jc w:val="both"/>
              <w:rPr>
                <w:rFonts w:cs="Times New Roman"/>
                <w:sz w:val="24"/>
                <w:szCs w:val="24"/>
              </w:rPr>
            </w:pPr>
            <w:r>
              <w:rPr>
                <w:rFonts w:cs="Times New Roman"/>
                <w:sz w:val="24"/>
                <w:szCs w:val="24"/>
              </w:rPr>
              <w:t>Permanent</w:t>
            </w:r>
          </w:p>
        </w:tc>
        <w:tc>
          <w:tcPr>
            <w:tcW w:w="1986" w:type="dxa"/>
            <w:vAlign w:val="center"/>
          </w:tcPr>
          <w:p w14:paraId="1B6A551E">
            <w:pPr>
              <w:jc w:val="both"/>
              <w:rPr>
                <w:rFonts w:cs="Times New Roman"/>
                <w:sz w:val="24"/>
                <w:szCs w:val="24"/>
              </w:rPr>
            </w:pPr>
            <w:r>
              <w:rPr>
                <w:rFonts w:cs="Times New Roman"/>
                <w:sz w:val="24"/>
                <w:szCs w:val="24"/>
              </w:rPr>
              <w:t>Echipele medicilor  de familie;Serviciul ftiziopneumologic</w:t>
            </w:r>
          </w:p>
        </w:tc>
      </w:tr>
      <w:tr w14:paraId="7C7EF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3" w:type="dxa"/>
            <w:vAlign w:val="center"/>
          </w:tcPr>
          <w:p w14:paraId="708575B9">
            <w:pPr>
              <w:jc w:val="both"/>
              <w:rPr>
                <w:rFonts w:cs="Times New Roman"/>
                <w:sz w:val="24"/>
                <w:szCs w:val="24"/>
              </w:rPr>
            </w:pPr>
            <w:r>
              <w:rPr>
                <w:rFonts w:cs="Times New Roman"/>
                <w:sz w:val="24"/>
                <w:szCs w:val="24"/>
              </w:rPr>
              <w:t>36.</w:t>
            </w:r>
          </w:p>
        </w:tc>
        <w:tc>
          <w:tcPr>
            <w:tcW w:w="6005" w:type="dxa"/>
            <w:vAlign w:val="center"/>
          </w:tcPr>
          <w:p w14:paraId="4B024054">
            <w:pPr>
              <w:jc w:val="both"/>
              <w:rPr>
                <w:rFonts w:cs="Times New Roman"/>
                <w:sz w:val="24"/>
                <w:szCs w:val="24"/>
              </w:rPr>
            </w:pPr>
            <w:r>
              <w:rPr>
                <w:rFonts w:cs="Times New Roman"/>
                <w:sz w:val="24"/>
                <w:szCs w:val="24"/>
              </w:rPr>
              <w:t>Asigurarea evaluării sistematice TB/HIV: testare HIV la persoanele diagnosticate cu TB și screening TB la persoanele care trăiesc cu HIV, cu referire rapidă și management integrat al coinfecției.</w:t>
            </w:r>
          </w:p>
        </w:tc>
        <w:tc>
          <w:tcPr>
            <w:tcW w:w="1474" w:type="dxa"/>
            <w:vAlign w:val="center"/>
          </w:tcPr>
          <w:p w14:paraId="306AB5C0">
            <w:pPr>
              <w:jc w:val="both"/>
              <w:rPr>
                <w:rFonts w:cs="Times New Roman"/>
                <w:sz w:val="24"/>
                <w:szCs w:val="24"/>
              </w:rPr>
            </w:pPr>
            <w:r>
              <w:rPr>
                <w:rFonts w:cs="Times New Roman"/>
                <w:sz w:val="24"/>
                <w:szCs w:val="24"/>
              </w:rPr>
              <w:t>Permanent</w:t>
            </w:r>
          </w:p>
        </w:tc>
        <w:tc>
          <w:tcPr>
            <w:tcW w:w="1986" w:type="dxa"/>
            <w:vAlign w:val="center"/>
          </w:tcPr>
          <w:p w14:paraId="08CB5B6C">
            <w:pPr>
              <w:jc w:val="both"/>
              <w:rPr>
                <w:rFonts w:cs="Times New Roman"/>
                <w:sz w:val="24"/>
                <w:szCs w:val="24"/>
              </w:rPr>
            </w:pPr>
            <w:r>
              <w:rPr>
                <w:rFonts w:cs="Times New Roman"/>
                <w:sz w:val="24"/>
                <w:szCs w:val="24"/>
              </w:rPr>
              <w:t>Serviciul ftiziopneumologie; AMSA medic infecționist; echipele medicilor  de familie</w:t>
            </w:r>
          </w:p>
        </w:tc>
      </w:tr>
      <w:tr w14:paraId="1C055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3" w:type="dxa"/>
            <w:vAlign w:val="center"/>
          </w:tcPr>
          <w:p w14:paraId="2E8153FA">
            <w:pPr>
              <w:jc w:val="both"/>
              <w:rPr>
                <w:rFonts w:cs="Times New Roman"/>
                <w:sz w:val="24"/>
                <w:szCs w:val="24"/>
              </w:rPr>
            </w:pPr>
            <w:r>
              <w:rPr>
                <w:rFonts w:cs="Times New Roman"/>
                <w:sz w:val="24"/>
                <w:szCs w:val="24"/>
              </w:rPr>
              <w:t>37.</w:t>
            </w:r>
          </w:p>
        </w:tc>
        <w:tc>
          <w:tcPr>
            <w:tcW w:w="6005" w:type="dxa"/>
            <w:vAlign w:val="center"/>
          </w:tcPr>
          <w:p w14:paraId="327F788F">
            <w:pPr>
              <w:jc w:val="both"/>
              <w:rPr>
                <w:rFonts w:cs="Times New Roman"/>
                <w:sz w:val="24"/>
                <w:szCs w:val="24"/>
              </w:rPr>
            </w:pPr>
            <w:r>
              <w:rPr>
                <w:rFonts w:cs="Times New Roman"/>
                <w:sz w:val="24"/>
                <w:szCs w:val="24"/>
              </w:rPr>
              <w:t>Aplicarea măsurilor de prevenire și control al infecției TB în instituțiile medicale: triajul persoanelor simptomatice, separarea fluxurilor, eticheta tusei, utilizarea echipamentului individual de protecție și evaluarea periodică a riscului de transmitere.</w:t>
            </w:r>
          </w:p>
        </w:tc>
        <w:tc>
          <w:tcPr>
            <w:tcW w:w="1474" w:type="dxa"/>
            <w:vAlign w:val="center"/>
          </w:tcPr>
          <w:p w14:paraId="5F40DE83">
            <w:pPr>
              <w:jc w:val="both"/>
              <w:rPr>
                <w:rFonts w:cs="Times New Roman"/>
                <w:sz w:val="24"/>
                <w:szCs w:val="24"/>
              </w:rPr>
            </w:pPr>
            <w:r>
              <w:rPr>
                <w:rFonts w:cs="Times New Roman"/>
                <w:sz w:val="24"/>
                <w:szCs w:val="24"/>
              </w:rPr>
              <w:t>Permanent; evaluare anuală</w:t>
            </w:r>
          </w:p>
        </w:tc>
        <w:tc>
          <w:tcPr>
            <w:tcW w:w="1986" w:type="dxa"/>
            <w:vAlign w:val="center"/>
          </w:tcPr>
          <w:p w14:paraId="56A53C41">
            <w:pPr>
              <w:jc w:val="both"/>
              <w:rPr>
                <w:rFonts w:cs="Times New Roman"/>
                <w:sz w:val="24"/>
                <w:szCs w:val="24"/>
              </w:rPr>
            </w:pPr>
            <w:r>
              <w:rPr>
                <w:rFonts w:cs="Times New Roman"/>
                <w:sz w:val="24"/>
                <w:szCs w:val="24"/>
              </w:rPr>
              <w:t>Conducătorii IMSP; responsabilii PCI; Serviciul ftiziopneumologic</w:t>
            </w:r>
          </w:p>
        </w:tc>
      </w:tr>
      <w:tr w14:paraId="72476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3" w:type="dxa"/>
            <w:vAlign w:val="center"/>
          </w:tcPr>
          <w:p w14:paraId="14B4171A">
            <w:pPr>
              <w:jc w:val="both"/>
              <w:rPr>
                <w:rFonts w:cs="Times New Roman"/>
                <w:sz w:val="24"/>
                <w:szCs w:val="24"/>
              </w:rPr>
            </w:pPr>
            <w:r>
              <w:rPr>
                <w:rFonts w:cs="Times New Roman"/>
                <w:sz w:val="24"/>
                <w:szCs w:val="24"/>
              </w:rPr>
              <w:t>38.</w:t>
            </w:r>
          </w:p>
        </w:tc>
        <w:tc>
          <w:tcPr>
            <w:tcW w:w="6005" w:type="dxa"/>
            <w:vAlign w:val="center"/>
          </w:tcPr>
          <w:p w14:paraId="5BE6FB56">
            <w:pPr>
              <w:jc w:val="both"/>
              <w:rPr>
                <w:rFonts w:cs="Times New Roman"/>
                <w:sz w:val="24"/>
                <w:szCs w:val="24"/>
              </w:rPr>
            </w:pPr>
            <w:r>
              <w:rPr>
                <w:rFonts w:cs="Times New Roman"/>
                <w:sz w:val="24"/>
                <w:szCs w:val="24"/>
              </w:rPr>
              <w:t>Monitorizarea trimestrială a indicatorilor Programului teritorial pe fiecare instituție/teritoriu: screening, contacți examinați, diagnostic molecular, tratament preventiv, aderență, rezultate terapeutice, abandon, mortalitate și TB MDR/RR; elaborarea măsurilor corective pentru indicatorii sub țintă.</w:t>
            </w:r>
          </w:p>
        </w:tc>
        <w:tc>
          <w:tcPr>
            <w:tcW w:w="1474" w:type="dxa"/>
            <w:vAlign w:val="center"/>
          </w:tcPr>
          <w:p w14:paraId="4745099A">
            <w:pPr>
              <w:jc w:val="both"/>
              <w:rPr>
                <w:rFonts w:cs="Times New Roman"/>
                <w:sz w:val="24"/>
                <w:szCs w:val="24"/>
              </w:rPr>
            </w:pPr>
            <w:r>
              <w:rPr>
                <w:rFonts w:cs="Times New Roman"/>
                <w:sz w:val="24"/>
                <w:szCs w:val="24"/>
              </w:rPr>
              <w:t>Trimestrial</w:t>
            </w:r>
          </w:p>
        </w:tc>
        <w:tc>
          <w:tcPr>
            <w:tcW w:w="1986" w:type="dxa"/>
            <w:vAlign w:val="center"/>
          </w:tcPr>
          <w:p w14:paraId="3E8E4059">
            <w:pPr>
              <w:jc w:val="both"/>
              <w:rPr>
                <w:rFonts w:cs="Times New Roman"/>
                <w:sz w:val="24"/>
                <w:szCs w:val="24"/>
              </w:rPr>
            </w:pPr>
            <w:r>
              <w:rPr>
                <w:rFonts w:cs="Times New Roman"/>
                <w:sz w:val="24"/>
                <w:szCs w:val="24"/>
              </w:rPr>
              <w:t>Serviciul ftiziopneumologic; IMSP CS Sîngerei; conducătorii Centrelor de Sănătate; CSP/ANSP</w:t>
            </w:r>
          </w:p>
        </w:tc>
      </w:tr>
      <w:tr w14:paraId="6BAAC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3" w:type="dxa"/>
            <w:vAlign w:val="center"/>
          </w:tcPr>
          <w:p w14:paraId="37B8AFE7">
            <w:pPr>
              <w:jc w:val="both"/>
              <w:rPr>
                <w:rFonts w:cs="Times New Roman"/>
                <w:sz w:val="24"/>
                <w:szCs w:val="24"/>
              </w:rPr>
            </w:pPr>
            <w:r>
              <w:rPr>
                <w:rFonts w:cs="Times New Roman"/>
                <w:sz w:val="24"/>
                <w:szCs w:val="24"/>
              </w:rPr>
              <w:t>39.</w:t>
            </w:r>
          </w:p>
        </w:tc>
        <w:tc>
          <w:tcPr>
            <w:tcW w:w="6005" w:type="dxa"/>
            <w:vAlign w:val="center"/>
          </w:tcPr>
          <w:p w14:paraId="4340F660">
            <w:pPr>
              <w:jc w:val="both"/>
              <w:rPr>
                <w:rFonts w:cs="Times New Roman"/>
                <w:sz w:val="24"/>
                <w:szCs w:val="24"/>
              </w:rPr>
            </w:pPr>
            <w:r>
              <w:rPr>
                <w:rFonts w:cs="Times New Roman"/>
                <w:sz w:val="24"/>
                <w:szCs w:val="24"/>
              </w:rPr>
              <w:t>Instruirea periodică a medicilor de familie, asistenților medicali, personalului social și altor actori implicați privind depistarea precoce, traseul pacientului, tratamentul preventiv, aderența și prevenirea stigmatizării.</w:t>
            </w:r>
          </w:p>
        </w:tc>
        <w:tc>
          <w:tcPr>
            <w:tcW w:w="1474" w:type="dxa"/>
            <w:vAlign w:val="center"/>
          </w:tcPr>
          <w:p w14:paraId="2E38A954">
            <w:pPr>
              <w:jc w:val="both"/>
              <w:rPr>
                <w:rFonts w:cs="Times New Roman"/>
                <w:sz w:val="24"/>
                <w:szCs w:val="24"/>
              </w:rPr>
            </w:pPr>
            <w:r>
              <w:rPr>
                <w:rFonts w:cs="Times New Roman"/>
                <w:sz w:val="24"/>
                <w:szCs w:val="24"/>
              </w:rPr>
              <w:t>Anual</w:t>
            </w:r>
          </w:p>
        </w:tc>
        <w:tc>
          <w:tcPr>
            <w:tcW w:w="1986" w:type="dxa"/>
            <w:vAlign w:val="center"/>
          </w:tcPr>
          <w:p w14:paraId="4EC4B6EF">
            <w:pPr>
              <w:jc w:val="both"/>
              <w:rPr>
                <w:rFonts w:cs="Times New Roman"/>
                <w:sz w:val="24"/>
                <w:szCs w:val="24"/>
              </w:rPr>
            </w:pPr>
            <w:r>
              <w:rPr>
                <w:rFonts w:cs="Times New Roman"/>
                <w:sz w:val="24"/>
                <w:szCs w:val="24"/>
              </w:rPr>
              <w:t>Serviciul ftiziopneumologic; IMSP Centre de Sănătate; CSP/ANSP</w:t>
            </w:r>
          </w:p>
        </w:tc>
      </w:tr>
      <w:tr w14:paraId="77105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3" w:type="dxa"/>
            <w:vAlign w:val="center"/>
          </w:tcPr>
          <w:p w14:paraId="121D50B8">
            <w:pPr>
              <w:jc w:val="both"/>
              <w:rPr>
                <w:rFonts w:cs="Times New Roman"/>
                <w:sz w:val="24"/>
                <w:szCs w:val="24"/>
              </w:rPr>
            </w:pPr>
            <w:r>
              <w:rPr>
                <w:rFonts w:cs="Times New Roman"/>
                <w:sz w:val="24"/>
                <w:szCs w:val="24"/>
              </w:rPr>
              <w:t>40.</w:t>
            </w:r>
          </w:p>
        </w:tc>
        <w:tc>
          <w:tcPr>
            <w:tcW w:w="6005" w:type="dxa"/>
            <w:vAlign w:val="center"/>
          </w:tcPr>
          <w:p w14:paraId="09AE4C22">
            <w:pPr>
              <w:jc w:val="both"/>
              <w:rPr>
                <w:rFonts w:cs="Times New Roman"/>
                <w:sz w:val="24"/>
                <w:szCs w:val="24"/>
              </w:rPr>
            </w:pPr>
            <w:r>
              <w:rPr>
                <w:rFonts w:cs="Times New Roman"/>
                <w:sz w:val="24"/>
                <w:szCs w:val="24"/>
              </w:rPr>
              <w:t>Asigurarea utilizării datelor din SI METB și a altor sisteme informaționale relevante pentru monitorizarea cazurilor, analiza indicatorilor și fundamentarea deciziilor manageriale la nivel raional.</w:t>
            </w:r>
          </w:p>
        </w:tc>
        <w:tc>
          <w:tcPr>
            <w:tcW w:w="1474" w:type="dxa"/>
            <w:vAlign w:val="center"/>
          </w:tcPr>
          <w:p w14:paraId="7EAB6B0C">
            <w:pPr>
              <w:jc w:val="both"/>
              <w:rPr>
                <w:rFonts w:cs="Times New Roman"/>
                <w:sz w:val="24"/>
                <w:szCs w:val="24"/>
              </w:rPr>
            </w:pPr>
            <w:r>
              <w:rPr>
                <w:rFonts w:cs="Times New Roman"/>
                <w:sz w:val="24"/>
                <w:szCs w:val="24"/>
              </w:rPr>
              <w:t>Permanent</w:t>
            </w:r>
          </w:p>
        </w:tc>
        <w:tc>
          <w:tcPr>
            <w:tcW w:w="1986" w:type="dxa"/>
            <w:vAlign w:val="center"/>
          </w:tcPr>
          <w:p w14:paraId="11369C21">
            <w:pPr>
              <w:jc w:val="both"/>
              <w:rPr>
                <w:rFonts w:cs="Times New Roman"/>
                <w:sz w:val="24"/>
                <w:szCs w:val="24"/>
              </w:rPr>
            </w:pPr>
            <w:r>
              <w:rPr>
                <w:rFonts w:cs="Times New Roman"/>
                <w:sz w:val="24"/>
                <w:szCs w:val="24"/>
              </w:rPr>
              <w:t xml:space="preserve">Serviciul ftiziopneumologic; </w:t>
            </w:r>
          </w:p>
        </w:tc>
      </w:tr>
      <w:tr w14:paraId="65126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3" w:type="dxa"/>
            <w:vAlign w:val="center"/>
          </w:tcPr>
          <w:p w14:paraId="4A343B55">
            <w:pPr>
              <w:jc w:val="both"/>
              <w:rPr>
                <w:rFonts w:cs="Times New Roman"/>
                <w:sz w:val="24"/>
                <w:szCs w:val="24"/>
              </w:rPr>
            </w:pPr>
            <w:r>
              <w:rPr>
                <w:rFonts w:cs="Times New Roman"/>
                <w:sz w:val="24"/>
                <w:szCs w:val="24"/>
              </w:rPr>
              <w:t>41.</w:t>
            </w:r>
          </w:p>
        </w:tc>
        <w:tc>
          <w:tcPr>
            <w:tcW w:w="6005" w:type="dxa"/>
            <w:vAlign w:val="center"/>
          </w:tcPr>
          <w:p w14:paraId="50D4F588">
            <w:pPr>
              <w:jc w:val="both"/>
              <w:rPr>
                <w:rFonts w:cs="Times New Roman"/>
                <w:sz w:val="24"/>
                <w:szCs w:val="24"/>
              </w:rPr>
            </w:pPr>
            <w:r>
              <w:rPr>
                <w:rFonts w:cs="Times New Roman"/>
                <w:sz w:val="24"/>
                <w:szCs w:val="24"/>
              </w:rPr>
              <w:t>Evaluarea anuală a implementării Programului teritorial și prezentarea unei note de progres Consiliului Raional Sîngerei, cu rezultatele obținute, dificultățile, necesitățile de finanțare și măsurile pentru anul următor.</w:t>
            </w:r>
          </w:p>
        </w:tc>
        <w:tc>
          <w:tcPr>
            <w:tcW w:w="1474" w:type="dxa"/>
            <w:vAlign w:val="center"/>
          </w:tcPr>
          <w:p w14:paraId="14DC5174">
            <w:pPr>
              <w:jc w:val="both"/>
              <w:rPr>
                <w:rFonts w:cs="Times New Roman"/>
                <w:sz w:val="24"/>
                <w:szCs w:val="24"/>
              </w:rPr>
            </w:pPr>
            <w:r>
              <w:rPr>
                <w:rFonts w:cs="Times New Roman"/>
                <w:sz w:val="24"/>
                <w:szCs w:val="24"/>
              </w:rPr>
              <w:t>Anual</w:t>
            </w:r>
          </w:p>
        </w:tc>
        <w:tc>
          <w:tcPr>
            <w:tcW w:w="1986" w:type="dxa"/>
            <w:vAlign w:val="center"/>
          </w:tcPr>
          <w:p w14:paraId="632D89F5">
            <w:pPr>
              <w:jc w:val="both"/>
              <w:rPr>
                <w:rFonts w:cs="Times New Roman"/>
                <w:sz w:val="24"/>
                <w:szCs w:val="24"/>
              </w:rPr>
            </w:pPr>
            <w:r>
              <w:rPr>
                <w:rFonts w:cs="Times New Roman"/>
                <w:sz w:val="24"/>
                <w:szCs w:val="24"/>
              </w:rPr>
              <w:t>IMSP CS Sîngerei/Serviciul ftiziopneumologiec; Consiliul Raional Sîngerei</w:t>
            </w:r>
          </w:p>
        </w:tc>
      </w:tr>
    </w:tbl>
    <w:p w14:paraId="55B05FAC">
      <w:pPr>
        <w:pStyle w:val="10"/>
        <w:spacing w:line="271" w:lineRule="auto"/>
        <w:ind w:right="133"/>
        <w:jc w:val="both"/>
        <w:rPr>
          <w:rFonts w:cs="Times New Roman"/>
        </w:rPr>
      </w:pPr>
    </w:p>
    <w:p w14:paraId="270B29FC">
      <w:pPr>
        <w:widowControl/>
        <w:autoSpaceDE/>
        <w:autoSpaceDN/>
        <w:spacing w:line="259" w:lineRule="auto"/>
        <w:contextualSpacing/>
        <w:jc w:val="both"/>
        <w:rPr>
          <w:rFonts w:eastAsia="Calibri" w:cs="Times New Roman"/>
          <w:b/>
          <w:bCs/>
          <w:sz w:val="28"/>
          <w:szCs w:val="28"/>
        </w:rPr>
      </w:pPr>
      <w:r>
        <w:rPr>
          <w:rFonts w:eastAsia="Calibri" w:cs="Times New Roman"/>
          <w:b/>
          <w:bCs/>
          <w:sz w:val="28"/>
          <w:szCs w:val="28"/>
        </w:rPr>
        <w:t>Fondurile autorităților administrației publice locale lei</w:t>
      </w:r>
    </w:p>
    <w:p w14:paraId="725664DD">
      <w:pPr>
        <w:widowControl/>
        <w:autoSpaceDE/>
        <w:autoSpaceDN/>
        <w:spacing w:line="259" w:lineRule="auto"/>
        <w:contextualSpacing/>
        <w:jc w:val="both"/>
        <w:rPr>
          <w:rFonts w:eastAsia="Calibri" w:cs="Times New Roman"/>
          <w:b/>
          <w:bCs/>
          <w:sz w:val="28"/>
          <w:szCs w:val="28"/>
        </w:rPr>
      </w:pPr>
    </w:p>
    <w:p w14:paraId="77685497">
      <w:pPr>
        <w:jc w:val="both"/>
        <w:rPr>
          <w:rFonts w:cs="Times New Roman"/>
          <w:b/>
          <w:sz w:val="24"/>
        </w:rPr>
      </w:pPr>
      <w:r>
        <w:rPr>
          <w:rFonts w:cs="Times New Roman"/>
          <w:b/>
          <w:sz w:val="24"/>
        </w:rPr>
        <w:t>III. RESURSE FINANCIARE ESTIMATIVE ȘI PRIORITĂȚI DE INVESTIȚII</w:t>
      </w:r>
    </w:p>
    <w:p w14:paraId="636EB50A">
      <w:pPr>
        <w:jc w:val="both"/>
        <w:rPr>
          <w:rFonts w:cs="Times New Roman"/>
        </w:rPr>
      </w:pP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85"/>
        <w:gridCol w:w="1849"/>
        <w:gridCol w:w="1085"/>
        <w:gridCol w:w="1085"/>
        <w:gridCol w:w="1085"/>
        <w:gridCol w:w="1044"/>
        <w:gridCol w:w="1044"/>
        <w:gridCol w:w="1651"/>
      </w:tblGrid>
      <w:tr w14:paraId="3F3EE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1" w:type="dxa"/>
            <w:vAlign w:val="center"/>
          </w:tcPr>
          <w:p w14:paraId="78820AAE">
            <w:pPr>
              <w:widowControl/>
              <w:autoSpaceDE/>
              <w:autoSpaceDN/>
              <w:jc w:val="both"/>
              <w:rPr>
                <w:rFonts w:cs="Times New Roman"/>
              </w:rPr>
            </w:pPr>
            <w:r>
              <w:rPr>
                <w:rFonts w:cs="Times New Roman"/>
                <w:b/>
                <w:sz w:val="17"/>
              </w:rPr>
              <w:t>Nr. crt.</w:t>
            </w:r>
          </w:p>
        </w:tc>
        <w:tc>
          <w:tcPr>
            <w:tcW w:w="1850" w:type="dxa"/>
            <w:vAlign w:val="center"/>
          </w:tcPr>
          <w:p w14:paraId="2FE0AFB8">
            <w:pPr>
              <w:widowControl/>
              <w:autoSpaceDE/>
              <w:autoSpaceDN/>
              <w:jc w:val="both"/>
              <w:rPr>
                <w:rFonts w:cs="Times New Roman"/>
              </w:rPr>
            </w:pPr>
            <w:r>
              <w:rPr>
                <w:rFonts w:cs="Times New Roman"/>
                <w:b/>
                <w:sz w:val="17"/>
              </w:rPr>
              <w:t>Obiective / cheltuieli</w:t>
            </w:r>
          </w:p>
        </w:tc>
        <w:tc>
          <w:tcPr>
            <w:tcW w:w="1108" w:type="dxa"/>
            <w:vAlign w:val="center"/>
          </w:tcPr>
          <w:p w14:paraId="59C1FF15">
            <w:pPr>
              <w:widowControl/>
              <w:autoSpaceDE/>
              <w:autoSpaceDN/>
              <w:jc w:val="both"/>
              <w:rPr>
                <w:rFonts w:cs="Times New Roman"/>
              </w:rPr>
            </w:pPr>
            <w:r>
              <w:rPr>
                <w:rFonts w:cs="Times New Roman"/>
                <w:b/>
                <w:sz w:val="17"/>
              </w:rPr>
              <w:t>2026</w:t>
            </w:r>
          </w:p>
        </w:tc>
        <w:tc>
          <w:tcPr>
            <w:tcW w:w="1108" w:type="dxa"/>
            <w:vAlign w:val="center"/>
          </w:tcPr>
          <w:p w14:paraId="0263AF49">
            <w:pPr>
              <w:widowControl/>
              <w:autoSpaceDE/>
              <w:autoSpaceDN/>
              <w:jc w:val="both"/>
              <w:rPr>
                <w:rFonts w:cs="Times New Roman"/>
              </w:rPr>
            </w:pPr>
            <w:r>
              <w:rPr>
                <w:rFonts w:cs="Times New Roman"/>
                <w:b/>
                <w:sz w:val="17"/>
              </w:rPr>
              <w:t>2027</w:t>
            </w:r>
          </w:p>
        </w:tc>
        <w:tc>
          <w:tcPr>
            <w:tcW w:w="1108" w:type="dxa"/>
            <w:vAlign w:val="center"/>
          </w:tcPr>
          <w:p w14:paraId="45483127">
            <w:pPr>
              <w:widowControl/>
              <w:autoSpaceDE/>
              <w:autoSpaceDN/>
              <w:jc w:val="both"/>
              <w:rPr>
                <w:rFonts w:cs="Times New Roman"/>
              </w:rPr>
            </w:pPr>
            <w:r>
              <w:rPr>
                <w:rFonts w:cs="Times New Roman"/>
                <w:b/>
                <w:sz w:val="17"/>
              </w:rPr>
              <w:t>2028</w:t>
            </w:r>
          </w:p>
        </w:tc>
        <w:tc>
          <w:tcPr>
            <w:tcW w:w="1074" w:type="dxa"/>
            <w:vAlign w:val="center"/>
          </w:tcPr>
          <w:p w14:paraId="7D927065">
            <w:pPr>
              <w:widowControl/>
              <w:autoSpaceDE/>
              <w:autoSpaceDN/>
              <w:jc w:val="both"/>
              <w:rPr>
                <w:rFonts w:cs="Times New Roman"/>
              </w:rPr>
            </w:pPr>
            <w:r>
              <w:rPr>
                <w:rFonts w:cs="Times New Roman"/>
                <w:b/>
                <w:sz w:val="17"/>
              </w:rPr>
              <w:t>2029</w:t>
            </w:r>
          </w:p>
        </w:tc>
        <w:tc>
          <w:tcPr>
            <w:tcW w:w="1074" w:type="dxa"/>
            <w:vAlign w:val="center"/>
          </w:tcPr>
          <w:p w14:paraId="75EED19E">
            <w:pPr>
              <w:widowControl/>
              <w:autoSpaceDE/>
              <w:autoSpaceDN/>
              <w:jc w:val="both"/>
              <w:rPr>
                <w:rFonts w:cs="Times New Roman"/>
              </w:rPr>
            </w:pPr>
            <w:r>
              <w:rPr>
                <w:rFonts w:cs="Times New Roman"/>
                <w:b/>
                <w:sz w:val="17"/>
              </w:rPr>
              <w:t>2030</w:t>
            </w:r>
          </w:p>
        </w:tc>
        <w:tc>
          <w:tcPr>
            <w:tcW w:w="1651" w:type="dxa"/>
            <w:vAlign w:val="center"/>
          </w:tcPr>
          <w:p w14:paraId="65EC8F36">
            <w:pPr>
              <w:widowControl/>
              <w:autoSpaceDE/>
              <w:autoSpaceDN/>
              <w:jc w:val="both"/>
              <w:rPr>
                <w:rFonts w:cs="Times New Roman"/>
              </w:rPr>
            </w:pPr>
            <w:r>
              <w:rPr>
                <w:rFonts w:cs="Times New Roman"/>
                <w:b/>
                <w:sz w:val="17"/>
              </w:rPr>
              <w:t>Total</w:t>
            </w:r>
          </w:p>
        </w:tc>
      </w:tr>
      <w:tr w14:paraId="7B529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1" w:type="dxa"/>
            <w:vAlign w:val="center"/>
          </w:tcPr>
          <w:p w14:paraId="6BD7A247">
            <w:pPr>
              <w:widowControl/>
              <w:autoSpaceDE/>
              <w:autoSpaceDN/>
              <w:jc w:val="both"/>
              <w:rPr>
                <w:rFonts w:cs="Times New Roman"/>
              </w:rPr>
            </w:pPr>
            <w:r>
              <w:rPr>
                <w:rFonts w:cs="Times New Roman"/>
                <w:sz w:val="17"/>
              </w:rPr>
              <w:t>2.</w:t>
            </w:r>
          </w:p>
        </w:tc>
        <w:tc>
          <w:tcPr>
            <w:tcW w:w="1850" w:type="dxa"/>
            <w:vAlign w:val="center"/>
          </w:tcPr>
          <w:p w14:paraId="4A795BAE">
            <w:pPr>
              <w:widowControl/>
              <w:autoSpaceDE/>
              <w:autoSpaceDN/>
              <w:jc w:val="both"/>
              <w:rPr>
                <w:rFonts w:cs="Times New Roman"/>
              </w:rPr>
            </w:pPr>
            <w:r>
              <w:rPr>
                <w:rFonts w:cs="Times New Roman"/>
                <w:sz w:val="17"/>
              </w:rPr>
              <w:t>Medicamente și produse necesare managementului reacțiilor adverse la tratamentul antituberculos, conform indicațiilor medicale și cadrului de achiziții aplicabil.</w:t>
            </w:r>
          </w:p>
        </w:tc>
        <w:tc>
          <w:tcPr>
            <w:tcW w:w="1108" w:type="dxa"/>
            <w:vAlign w:val="center"/>
          </w:tcPr>
          <w:p w14:paraId="2CBEEC9E">
            <w:pPr>
              <w:widowControl/>
              <w:autoSpaceDE/>
              <w:autoSpaceDN/>
              <w:jc w:val="both"/>
              <w:rPr>
                <w:rFonts w:cs="Times New Roman"/>
              </w:rPr>
            </w:pPr>
            <w:r>
              <w:rPr>
                <w:rFonts w:cs="Times New Roman"/>
                <w:sz w:val="17"/>
              </w:rPr>
              <w:t>9 000</w:t>
            </w:r>
          </w:p>
        </w:tc>
        <w:tc>
          <w:tcPr>
            <w:tcW w:w="1108" w:type="dxa"/>
            <w:vAlign w:val="center"/>
          </w:tcPr>
          <w:p w14:paraId="33882B09">
            <w:pPr>
              <w:widowControl/>
              <w:autoSpaceDE/>
              <w:autoSpaceDN/>
              <w:jc w:val="both"/>
              <w:rPr>
                <w:rFonts w:cs="Times New Roman"/>
              </w:rPr>
            </w:pPr>
            <w:r>
              <w:rPr>
                <w:rFonts w:cs="Times New Roman"/>
                <w:sz w:val="17"/>
              </w:rPr>
              <w:t>9 000</w:t>
            </w:r>
          </w:p>
        </w:tc>
        <w:tc>
          <w:tcPr>
            <w:tcW w:w="1108" w:type="dxa"/>
            <w:vAlign w:val="center"/>
          </w:tcPr>
          <w:p w14:paraId="09E7D69C">
            <w:pPr>
              <w:widowControl/>
              <w:autoSpaceDE/>
              <w:autoSpaceDN/>
              <w:jc w:val="both"/>
              <w:rPr>
                <w:rFonts w:cs="Times New Roman"/>
              </w:rPr>
            </w:pPr>
            <w:r>
              <w:rPr>
                <w:rFonts w:cs="Times New Roman"/>
                <w:sz w:val="17"/>
              </w:rPr>
              <w:t>9 000</w:t>
            </w:r>
          </w:p>
        </w:tc>
        <w:tc>
          <w:tcPr>
            <w:tcW w:w="1074" w:type="dxa"/>
            <w:vAlign w:val="center"/>
          </w:tcPr>
          <w:p w14:paraId="1E20C616">
            <w:pPr>
              <w:widowControl/>
              <w:autoSpaceDE/>
              <w:autoSpaceDN/>
              <w:jc w:val="both"/>
              <w:rPr>
                <w:rFonts w:cs="Times New Roman"/>
              </w:rPr>
            </w:pPr>
            <w:r>
              <w:rPr>
                <w:rFonts w:cs="Times New Roman"/>
                <w:sz w:val="17"/>
              </w:rPr>
              <w:t>9 000</w:t>
            </w:r>
          </w:p>
        </w:tc>
        <w:tc>
          <w:tcPr>
            <w:tcW w:w="1074" w:type="dxa"/>
            <w:vAlign w:val="center"/>
          </w:tcPr>
          <w:p w14:paraId="6A5C024C">
            <w:pPr>
              <w:widowControl/>
              <w:autoSpaceDE/>
              <w:autoSpaceDN/>
              <w:jc w:val="both"/>
              <w:rPr>
                <w:rFonts w:cs="Times New Roman"/>
              </w:rPr>
            </w:pPr>
            <w:r>
              <w:rPr>
                <w:rFonts w:cs="Times New Roman"/>
                <w:sz w:val="17"/>
              </w:rPr>
              <w:t>9 000</w:t>
            </w:r>
          </w:p>
        </w:tc>
        <w:tc>
          <w:tcPr>
            <w:tcW w:w="1651" w:type="dxa"/>
            <w:vAlign w:val="center"/>
          </w:tcPr>
          <w:p w14:paraId="66D10250">
            <w:pPr>
              <w:widowControl/>
              <w:autoSpaceDE/>
              <w:autoSpaceDN/>
              <w:jc w:val="both"/>
              <w:rPr>
                <w:rFonts w:cs="Times New Roman"/>
              </w:rPr>
            </w:pPr>
            <w:r>
              <w:rPr>
                <w:rFonts w:cs="Times New Roman"/>
                <w:sz w:val="17"/>
              </w:rPr>
              <w:t>45 000</w:t>
            </w:r>
          </w:p>
        </w:tc>
      </w:tr>
      <w:tr w14:paraId="3D00F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1" w:type="dxa"/>
            <w:vAlign w:val="center"/>
          </w:tcPr>
          <w:p w14:paraId="2A45B751">
            <w:pPr>
              <w:widowControl/>
              <w:autoSpaceDE/>
              <w:autoSpaceDN/>
              <w:jc w:val="both"/>
              <w:rPr>
                <w:rFonts w:cs="Times New Roman"/>
              </w:rPr>
            </w:pPr>
            <w:r>
              <w:rPr>
                <w:rFonts w:cs="Times New Roman"/>
                <w:sz w:val="17"/>
              </w:rPr>
              <w:t>3.</w:t>
            </w:r>
          </w:p>
        </w:tc>
        <w:tc>
          <w:tcPr>
            <w:tcW w:w="1850" w:type="dxa"/>
            <w:vAlign w:val="center"/>
          </w:tcPr>
          <w:p w14:paraId="4F965666">
            <w:pPr>
              <w:widowControl/>
              <w:autoSpaceDE/>
              <w:autoSpaceDN/>
              <w:jc w:val="both"/>
              <w:rPr>
                <w:rFonts w:cs="Times New Roman"/>
              </w:rPr>
            </w:pPr>
            <w:r>
              <w:rPr>
                <w:rFonts w:cs="Times New Roman"/>
                <w:sz w:val="17"/>
              </w:rPr>
              <w:t>Consumabile medicale pentru managementul reacțiilor adverse și activitatea ambulatorie.</w:t>
            </w:r>
          </w:p>
        </w:tc>
        <w:tc>
          <w:tcPr>
            <w:tcW w:w="1108" w:type="dxa"/>
            <w:vAlign w:val="center"/>
          </w:tcPr>
          <w:p w14:paraId="557D54D4">
            <w:pPr>
              <w:widowControl/>
              <w:autoSpaceDE/>
              <w:autoSpaceDN/>
              <w:jc w:val="both"/>
              <w:rPr>
                <w:rFonts w:cs="Times New Roman"/>
              </w:rPr>
            </w:pPr>
            <w:r>
              <w:rPr>
                <w:rFonts w:cs="Times New Roman"/>
                <w:sz w:val="17"/>
              </w:rPr>
              <w:t>6 000</w:t>
            </w:r>
          </w:p>
        </w:tc>
        <w:tc>
          <w:tcPr>
            <w:tcW w:w="1108" w:type="dxa"/>
            <w:vAlign w:val="center"/>
          </w:tcPr>
          <w:p w14:paraId="442C37AF">
            <w:pPr>
              <w:widowControl/>
              <w:autoSpaceDE/>
              <w:autoSpaceDN/>
              <w:jc w:val="both"/>
              <w:rPr>
                <w:rFonts w:cs="Times New Roman"/>
              </w:rPr>
            </w:pPr>
            <w:r>
              <w:rPr>
                <w:rFonts w:cs="Times New Roman"/>
                <w:sz w:val="17"/>
              </w:rPr>
              <w:t>6 000</w:t>
            </w:r>
          </w:p>
        </w:tc>
        <w:tc>
          <w:tcPr>
            <w:tcW w:w="1108" w:type="dxa"/>
            <w:vAlign w:val="center"/>
          </w:tcPr>
          <w:p w14:paraId="6F611946">
            <w:pPr>
              <w:widowControl/>
              <w:autoSpaceDE/>
              <w:autoSpaceDN/>
              <w:jc w:val="both"/>
              <w:rPr>
                <w:rFonts w:cs="Times New Roman"/>
              </w:rPr>
            </w:pPr>
            <w:r>
              <w:rPr>
                <w:rFonts w:cs="Times New Roman"/>
                <w:sz w:val="17"/>
              </w:rPr>
              <w:t>6 000</w:t>
            </w:r>
          </w:p>
        </w:tc>
        <w:tc>
          <w:tcPr>
            <w:tcW w:w="1074" w:type="dxa"/>
            <w:vAlign w:val="center"/>
          </w:tcPr>
          <w:p w14:paraId="7B13976D">
            <w:pPr>
              <w:widowControl/>
              <w:autoSpaceDE/>
              <w:autoSpaceDN/>
              <w:jc w:val="both"/>
              <w:rPr>
                <w:rFonts w:cs="Times New Roman"/>
              </w:rPr>
            </w:pPr>
            <w:r>
              <w:rPr>
                <w:rFonts w:cs="Times New Roman"/>
                <w:sz w:val="17"/>
              </w:rPr>
              <w:t>6 000</w:t>
            </w:r>
          </w:p>
        </w:tc>
        <w:tc>
          <w:tcPr>
            <w:tcW w:w="1074" w:type="dxa"/>
            <w:vAlign w:val="center"/>
          </w:tcPr>
          <w:p w14:paraId="39A51A52">
            <w:pPr>
              <w:widowControl/>
              <w:autoSpaceDE/>
              <w:autoSpaceDN/>
              <w:jc w:val="both"/>
              <w:rPr>
                <w:rFonts w:cs="Times New Roman"/>
              </w:rPr>
            </w:pPr>
            <w:r>
              <w:rPr>
                <w:rFonts w:cs="Times New Roman"/>
                <w:sz w:val="17"/>
              </w:rPr>
              <w:t>6 000</w:t>
            </w:r>
          </w:p>
        </w:tc>
        <w:tc>
          <w:tcPr>
            <w:tcW w:w="1651" w:type="dxa"/>
            <w:vAlign w:val="center"/>
          </w:tcPr>
          <w:p w14:paraId="0DEFA105">
            <w:pPr>
              <w:widowControl/>
              <w:autoSpaceDE/>
              <w:autoSpaceDN/>
              <w:jc w:val="both"/>
              <w:rPr>
                <w:rFonts w:cs="Times New Roman"/>
              </w:rPr>
            </w:pPr>
            <w:r>
              <w:rPr>
                <w:rFonts w:cs="Times New Roman"/>
                <w:sz w:val="17"/>
              </w:rPr>
              <w:t>30 000</w:t>
            </w:r>
          </w:p>
        </w:tc>
      </w:tr>
      <w:tr w14:paraId="41460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1" w:type="dxa"/>
            <w:vAlign w:val="center"/>
          </w:tcPr>
          <w:p w14:paraId="6A56C4AA">
            <w:pPr>
              <w:widowControl/>
              <w:autoSpaceDE/>
              <w:autoSpaceDN/>
              <w:jc w:val="both"/>
              <w:rPr>
                <w:rFonts w:cs="Times New Roman"/>
              </w:rPr>
            </w:pPr>
            <w:r>
              <w:rPr>
                <w:rFonts w:cs="Times New Roman"/>
                <w:sz w:val="17"/>
              </w:rPr>
              <w:t>7.</w:t>
            </w:r>
          </w:p>
        </w:tc>
        <w:tc>
          <w:tcPr>
            <w:tcW w:w="1850" w:type="dxa"/>
            <w:vAlign w:val="center"/>
          </w:tcPr>
          <w:p w14:paraId="1DC38E91">
            <w:pPr>
              <w:widowControl/>
              <w:autoSpaceDE/>
              <w:autoSpaceDN/>
              <w:jc w:val="both"/>
              <w:rPr>
                <w:rFonts w:cs="Times New Roman"/>
              </w:rPr>
            </w:pPr>
            <w:r>
              <w:rPr>
                <w:rFonts w:cs="Times New Roman"/>
                <w:sz w:val="17"/>
              </w:rPr>
              <w:t>Amenajarea/reabilitarea și dotarea spațiilor necesare funcționării Serviciului Serviciul ftiziopneumologiec raional.</w:t>
            </w:r>
          </w:p>
        </w:tc>
        <w:tc>
          <w:tcPr>
            <w:tcW w:w="1108" w:type="dxa"/>
            <w:vAlign w:val="center"/>
          </w:tcPr>
          <w:p w14:paraId="72411E39">
            <w:pPr>
              <w:widowControl/>
              <w:autoSpaceDE/>
              <w:autoSpaceDN/>
              <w:jc w:val="both"/>
              <w:rPr>
                <w:rFonts w:cs="Times New Roman"/>
              </w:rPr>
            </w:pPr>
            <w:r>
              <w:rPr>
                <w:rFonts w:cs="Times New Roman"/>
                <w:sz w:val="17"/>
              </w:rPr>
              <w:t>de estimat</w:t>
            </w:r>
          </w:p>
        </w:tc>
        <w:tc>
          <w:tcPr>
            <w:tcW w:w="1108" w:type="dxa"/>
            <w:vAlign w:val="center"/>
          </w:tcPr>
          <w:p w14:paraId="473170D6">
            <w:pPr>
              <w:widowControl/>
              <w:autoSpaceDE/>
              <w:autoSpaceDN/>
              <w:jc w:val="both"/>
              <w:rPr>
                <w:rFonts w:cs="Times New Roman"/>
              </w:rPr>
            </w:pPr>
            <w:r>
              <w:rPr>
                <w:rFonts w:cs="Times New Roman"/>
                <w:sz w:val="17"/>
              </w:rPr>
              <w:t>de estimat</w:t>
            </w:r>
          </w:p>
        </w:tc>
        <w:tc>
          <w:tcPr>
            <w:tcW w:w="1108" w:type="dxa"/>
            <w:vAlign w:val="center"/>
          </w:tcPr>
          <w:p w14:paraId="4EC28C98">
            <w:pPr>
              <w:widowControl/>
              <w:autoSpaceDE/>
              <w:autoSpaceDN/>
              <w:jc w:val="both"/>
              <w:rPr>
                <w:rFonts w:cs="Times New Roman"/>
              </w:rPr>
            </w:pPr>
            <w:r>
              <w:rPr>
                <w:rFonts w:cs="Times New Roman"/>
                <w:sz w:val="17"/>
              </w:rPr>
              <w:t>—</w:t>
            </w:r>
          </w:p>
        </w:tc>
        <w:tc>
          <w:tcPr>
            <w:tcW w:w="1074" w:type="dxa"/>
            <w:vAlign w:val="center"/>
          </w:tcPr>
          <w:p w14:paraId="18988EAB">
            <w:pPr>
              <w:widowControl/>
              <w:autoSpaceDE/>
              <w:autoSpaceDN/>
              <w:jc w:val="both"/>
              <w:rPr>
                <w:rFonts w:cs="Times New Roman"/>
              </w:rPr>
            </w:pPr>
            <w:r>
              <w:rPr>
                <w:rFonts w:cs="Times New Roman"/>
                <w:sz w:val="17"/>
              </w:rPr>
              <w:t>—</w:t>
            </w:r>
          </w:p>
        </w:tc>
        <w:tc>
          <w:tcPr>
            <w:tcW w:w="1074" w:type="dxa"/>
            <w:vAlign w:val="center"/>
          </w:tcPr>
          <w:p w14:paraId="2FA5FBBB">
            <w:pPr>
              <w:widowControl/>
              <w:autoSpaceDE/>
              <w:autoSpaceDN/>
              <w:jc w:val="both"/>
              <w:rPr>
                <w:rFonts w:cs="Times New Roman"/>
              </w:rPr>
            </w:pPr>
            <w:r>
              <w:rPr>
                <w:rFonts w:cs="Times New Roman"/>
                <w:sz w:val="17"/>
              </w:rPr>
              <w:t>—</w:t>
            </w:r>
          </w:p>
        </w:tc>
        <w:tc>
          <w:tcPr>
            <w:tcW w:w="1651" w:type="dxa"/>
            <w:vAlign w:val="center"/>
          </w:tcPr>
          <w:p w14:paraId="0DB704F6">
            <w:pPr>
              <w:widowControl/>
              <w:autoSpaceDE/>
              <w:autoSpaceDN/>
              <w:jc w:val="both"/>
              <w:rPr>
                <w:rFonts w:cs="Times New Roman"/>
              </w:rPr>
            </w:pPr>
            <w:r>
              <w:rPr>
                <w:rFonts w:cs="Times New Roman"/>
                <w:sz w:val="17"/>
              </w:rPr>
              <w:t>conform devizului</w:t>
            </w:r>
          </w:p>
        </w:tc>
      </w:tr>
      <w:tr w14:paraId="0007C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1" w:type="dxa"/>
            <w:vAlign w:val="center"/>
          </w:tcPr>
          <w:p w14:paraId="362924A9">
            <w:pPr>
              <w:widowControl/>
              <w:autoSpaceDE/>
              <w:autoSpaceDN/>
              <w:jc w:val="both"/>
              <w:rPr>
                <w:rFonts w:cs="Times New Roman"/>
              </w:rPr>
            </w:pPr>
            <w:r>
              <w:rPr>
                <w:rFonts w:cs="Times New Roman"/>
                <w:sz w:val="17"/>
              </w:rPr>
              <w:t>8.</w:t>
            </w:r>
          </w:p>
        </w:tc>
        <w:tc>
          <w:tcPr>
            <w:tcW w:w="1850" w:type="dxa"/>
            <w:vAlign w:val="center"/>
          </w:tcPr>
          <w:p w14:paraId="63702AE7">
            <w:pPr>
              <w:widowControl/>
              <w:autoSpaceDE/>
              <w:autoSpaceDN/>
              <w:jc w:val="both"/>
              <w:rPr>
                <w:rFonts w:cs="Times New Roman"/>
              </w:rPr>
            </w:pPr>
            <w:r>
              <w:rPr>
                <w:rFonts w:cs="Times New Roman"/>
                <w:sz w:val="17"/>
              </w:rPr>
              <w:t>Procurarea și instalarea unui aparat radiologic digital performant, inclusiv lucrări de amenajare, radioprotecție, autorizare, instruire și mentenanță inițială.</w:t>
            </w:r>
          </w:p>
        </w:tc>
        <w:tc>
          <w:tcPr>
            <w:tcW w:w="1108" w:type="dxa"/>
            <w:vAlign w:val="center"/>
          </w:tcPr>
          <w:p w14:paraId="612AD302">
            <w:pPr>
              <w:widowControl/>
              <w:autoSpaceDE/>
              <w:autoSpaceDN/>
              <w:jc w:val="both"/>
              <w:rPr>
                <w:rFonts w:cs="Times New Roman"/>
              </w:rPr>
            </w:pPr>
            <w:r>
              <w:rPr>
                <w:rFonts w:cs="Times New Roman"/>
                <w:sz w:val="17"/>
              </w:rPr>
              <w:t>de estimat</w:t>
            </w:r>
          </w:p>
        </w:tc>
        <w:tc>
          <w:tcPr>
            <w:tcW w:w="1108" w:type="dxa"/>
            <w:vAlign w:val="center"/>
          </w:tcPr>
          <w:p w14:paraId="42EDCD91">
            <w:pPr>
              <w:widowControl/>
              <w:autoSpaceDE/>
              <w:autoSpaceDN/>
              <w:jc w:val="both"/>
              <w:rPr>
                <w:rFonts w:cs="Times New Roman"/>
              </w:rPr>
            </w:pPr>
            <w:r>
              <w:rPr>
                <w:rFonts w:cs="Times New Roman"/>
                <w:sz w:val="17"/>
              </w:rPr>
              <w:t>de estimat</w:t>
            </w:r>
          </w:p>
        </w:tc>
        <w:tc>
          <w:tcPr>
            <w:tcW w:w="1108" w:type="dxa"/>
            <w:vAlign w:val="center"/>
          </w:tcPr>
          <w:p w14:paraId="37F40559">
            <w:pPr>
              <w:widowControl/>
              <w:autoSpaceDE/>
              <w:autoSpaceDN/>
              <w:jc w:val="both"/>
              <w:rPr>
                <w:rFonts w:cs="Times New Roman"/>
              </w:rPr>
            </w:pPr>
            <w:r>
              <w:rPr>
                <w:rFonts w:cs="Times New Roman"/>
                <w:sz w:val="17"/>
              </w:rPr>
              <w:t>de estimat</w:t>
            </w:r>
          </w:p>
        </w:tc>
        <w:tc>
          <w:tcPr>
            <w:tcW w:w="1074" w:type="dxa"/>
            <w:vAlign w:val="center"/>
          </w:tcPr>
          <w:p w14:paraId="277E00B9">
            <w:pPr>
              <w:widowControl/>
              <w:autoSpaceDE/>
              <w:autoSpaceDN/>
              <w:jc w:val="both"/>
              <w:rPr>
                <w:rFonts w:cs="Times New Roman"/>
              </w:rPr>
            </w:pPr>
            <w:r>
              <w:rPr>
                <w:rFonts w:cs="Times New Roman"/>
                <w:sz w:val="17"/>
              </w:rPr>
              <w:t>—</w:t>
            </w:r>
          </w:p>
        </w:tc>
        <w:tc>
          <w:tcPr>
            <w:tcW w:w="1074" w:type="dxa"/>
            <w:vAlign w:val="center"/>
          </w:tcPr>
          <w:p w14:paraId="27EE876F">
            <w:pPr>
              <w:widowControl/>
              <w:autoSpaceDE/>
              <w:autoSpaceDN/>
              <w:jc w:val="both"/>
              <w:rPr>
                <w:rFonts w:cs="Times New Roman"/>
              </w:rPr>
            </w:pPr>
            <w:r>
              <w:rPr>
                <w:rFonts w:cs="Times New Roman"/>
                <w:sz w:val="17"/>
              </w:rPr>
              <w:t>—</w:t>
            </w:r>
          </w:p>
        </w:tc>
        <w:tc>
          <w:tcPr>
            <w:tcW w:w="1651" w:type="dxa"/>
            <w:vAlign w:val="center"/>
          </w:tcPr>
          <w:p w14:paraId="04CE7915">
            <w:pPr>
              <w:widowControl/>
              <w:autoSpaceDE/>
              <w:autoSpaceDN/>
              <w:jc w:val="both"/>
              <w:rPr>
                <w:rFonts w:cs="Times New Roman"/>
              </w:rPr>
            </w:pPr>
            <w:r>
              <w:rPr>
                <w:rFonts w:cs="Times New Roman"/>
                <w:sz w:val="17"/>
              </w:rPr>
              <w:t>conform studiului de fezabilitate/devizului</w:t>
            </w:r>
          </w:p>
        </w:tc>
      </w:tr>
    </w:tbl>
    <w:p w14:paraId="4466EB68">
      <w:pPr>
        <w:widowControl/>
        <w:autoSpaceDE/>
        <w:autoSpaceDN/>
        <w:spacing w:line="259" w:lineRule="auto"/>
        <w:contextualSpacing/>
        <w:jc w:val="both"/>
        <w:rPr>
          <w:rFonts w:eastAsia="Calibri" w:cs="Times New Roman"/>
          <w:sz w:val="36"/>
          <w:szCs w:val="36"/>
        </w:rPr>
      </w:pPr>
    </w:p>
    <w:p w14:paraId="3B61C94D">
      <w:pPr>
        <w:jc w:val="both"/>
        <w:rPr>
          <w:rFonts w:cs="Times New Roman"/>
        </w:rPr>
      </w:pPr>
    </w:p>
    <w:p w14:paraId="02554137">
      <w:pPr>
        <w:jc w:val="both"/>
        <w:rPr>
          <w:rFonts w:cs="Times New Roman"/>
        </w:rPr>
      </w:pPr>
      <w:r>
        <w:rPr>
          <w:rFonts w:cs="Times New Roman"/>
          <w:b/>
        </w:rPr>
        <w:t xml:space="preserve">Notă: </w:t>
      </w:r>
      <w:r>
        <w:rPr>
          <w:rFonts w:cs="Times New Roman"/>
        </w:rPr>
        <w:t>Sumele pentru infrastructură și aparatul radiologic vor fi stabilite după evaluarea tehnică, identificarea spațiului, elaborarea devizului/studiului de fezabilitate și identificarea surselor de finanțare. Finanțarea poate fi asigurată din bugetul raional, fondurile AOAM, bugetul de stat, granturi, donații și alte surse permise de legislație.</w:t>
      </w:r>
    </w:p>
    <w:p w14:paraId="1BB39102">
      <w:pPr>
        <w:jc w:val="both"/>
        <w:rPr>
          <w:rFonts w:cs="Times New Roman"/>
        </w:rPr>
      </w:pPr>
      <w:r>
        <w:rPr>
          <w:rFonts w:cs="Times New Roman"/>
        </w:rPr>
        <w:t>Prioritățile de investiții prevăzute de prezentul Program, în special asigurarea spațiilor pentru Serviciul ftiziopneumologie și dotarea cu aparat radiologic digital performant, vor fi promovate etapizat, în funcție de documentația tehnică, avizele necesare și resursele financiare aprobate anual.</w:t>
      </w:r>
    </w:p>
    <w:p w14:paraId="52CEABC8">
      <w:pPr>
        <w:jc w:val="both"/>
        <w:rPr>
          <w:rFonts w:cs="Times New Roman"/>
        </w:rPr>
      </w:pPr>
    </w:p>
    <w:p w14:paraId="5DA0EF05">
      <w:pPr>
        <w:jc w:val="both"/>
        <w:rPr>
          <w:rFonts w:cs="Times New Roman"/>
        </w:rPr>
      </w:pPr>
    </w:p>
    <w:p w14:paraId="01FE8B15">
      <w:pPr>
        <w:pStyle w:val="3"/>
        <w:spacing w:before="0"/>
        <w:jc w:val="both"/>
        <w:rPr>
          <w:rFonts w:ascii="Times New Roman" w:hAnsi="Times New Roman" w:eastAsia="Times New Roman" w:cs="Times New Roman"/>
        </w:rPr>
      </w:pPr>
      <w:r>
        <w:rPr>
          <w:rFonts w:ascii="Times New Roman" w:hAnsi="Times New Roman" w:cs="Times New Roman"/>
        </w:rPr>
        <w:t>LISTA ABREVIERILOR</w:t>
      </w:r>
    </w:p>
    <w:tbl>
      <w:tblPr>
        <w:tblStyle w:val="5"/>
        <w:tblW w:w="0" w:type="auto"/>
        <w:tblCellSpacing w:w="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1134"/>
        <w:gridCol w:w="8788"/>
      </w:tblGrid>
      <w:tr w14:paraId="4E87E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Header/>
          <w:tblCellSpacing w:w="15" w:type="dxa"/>
        </w:trPr>
        <w:tc>
          <w:tcPr>
            <w:tcW w:w="0" w:type="auto"/>
            <w:vAlign w:val="center"/>
          </w:tcPr>
          <w:p w14:paraId="1D2A4633">
            <w:pPr>
              <w:jc w:val="both"/>
              <w:rPr>
                <w:rFonts w:cs="Times New Roman"/>
                <w:b/>
                <w:bCs/>
              </w:rPr>
            </w:pPr>
            <w:r>
              <w:rPr>
                <w:rFonts w:cs="Times New Roman"/>
                <w:b/>
                <w:bCs/>
              </w:rPr>
              <w:t>Abreviere</w:t>
            </w:r>
          </w:p>
        </w:tc>
        <w:tc>
          <w:tcPr>
            <w:tcW w:w="0" w:type="auto"/>
            <w:vAlign w:val="center"/>
          </w:tcPr>
          <w:p w14:paraId="79D3D463">
            <w:pPr>
              <w:jc w:val="both"/>
              <w:rPr>
                <w:rFonts w:cs="Times New Roman"/>
                <w:b/>
                <w:bCs/>
              </w:rPr>
            </w:pPr>
            <w:r>
              <w:rPr>
                <w:rFonts w:cs="Times New Roman"/>
                <w:b/>
                <w:bCs/>
              </w:rPr>
              <w:t>Semnificație</w:t>
            </w:r>
          </w:p>
        </w:tc>
      </w:tr>
      <w:tr w14:paraId="7EEF7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0" w:type="auto"/>
            <w:vAlign w:val="center"/>
          </w:tcPr>
          <w:p w14:paraId="4E4AA40A">
            <w:pPr>
              <w:jc w:val="both"/>
              <w:rPr>
                <w:rFonts w:cs="Times New Roman"/>
              </w:rPr>
            </w:pPr>
            <w:r>
              <w:rPr>
                <w:rStyle w:val="7"/>
                <w:rFonts w:cs="Times New Roman"/>
              </w:rPr>
              <w:t>APL</w:t>
            </w:r>
          </w:p>
        </w:tc>
        <w:tc>
          <w:tcPr>
            <w:tcW w:w="0" w:type="auto"/>
            <w:vAlign w:val="center"/>
          </w:tcPr>
          <w:p w14:paraId="2083E4DB">
            <w:pPr>
              <w:jc w:val="both"/>
              <w:rPr>
                <w:rFonts w:cs="Times New Roman"/>
              </w:rPr>
            </w:pPr>
            <w:r>
              <w:rPr>
                <w:rFonts w:cs="Times New Roman"/>
              </w:rPr>
              <w:t>Autorități ale administrației publice locale</w:t>
            </w:r>
          </w:p>
        </w:tc>
      </w:tr>
      <w:tr w14:paraId="09F9D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0" w:type="auto"/>
            <w:vAlign w:val="center"/>
          </w:tcPr>
          <w:p w14:paraId="4461C474">
            <w:pPr>
              <w:jc w:val="both"/>
              <w:rPr>
                <w:rFonts w:cs="Times New Roman"/>
              </w:rPr>
            </w:pPr>
            <w:r>
              <w:rPr>
                <w:rStyle w:val="7"/>
                <w:rFonts w:cs="Times New Roman"/>
              </w:rPr>
              <w:t>ANSP</w:t>
            </w:r>
          </w:p>
        </w:tc>
        <w:tc>
          <w:tcPr>
            <w:tcW w:w="0" w:type="auto"/>
            <w:vAlign w:val="center"/>
          </w:tcPr>
          <w:p w14:paraId="75BA5FCB">
            <w:pPr>
              <w:jc w:val="both"/>
              <w:rPr>
                <w:rFonts w:cs="Times New Roman"/>
              </w:rPr>
            </w:pPr>
            <w:r>
              <w:rPr>
                <w:rFonts w:cs="Times New Roman"/>
              </w:rPr>
              <w:t>Agenția Națională pentru Sănătate Publică</w:t>
            </w:r>
          </w:p>
        </w:tc>
      </w:tr>
      <w:tr w14:paraId="0A4ED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0" w:type="auto"/>
            <w:vAlign w:val="center"/>
          </w:tcPr>
          <w:p w14:paraId="51BE6FB7">
            <w:pPr>
              <w:jc w:val="both"/>
              <w:rPr>
                <w:rFonts w:cs="Times New Roman"/>
              </w:rPr>
            </w:pPr>
            <w:r>
              <w:rPr>
                <w:rStyle w:val="7"/>
                <w:rFonts w:cs="Times New Roman"/>
              </w:rPr>
              <w:t>CSP</w:t>
            </w:r>
          </w:p>
        </w:tc>
        <w:tc>
          <w:tcPr>
            <w:tcW w:w="0" w:type="auto"/>
            <w:vAlign w:val="center"/>
          </w:tcPr>
          <w:p w14:paraId="11D09773">
            <w:pPr>
              <w:jc w:val="both"/>
              <w:rPr>
                <w:rFonts w:cs="Times New Roman"/>
              </w:rPr>
            </w:pPr>
            <w:r>
              <w:rPr>
                <w:rFonts w:cs="Times New Roman"/>
              </w:rPr>
              <w:t>Centrul de Sănătate Publică</w:t>
            </w:r>
          </w:p>
        </w:tc>
      </w:tr>
      <w:tr w14:paraId="76DC7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0" w:type="auto"/>
            <w:vAlign w:val="center"/>
          </w:tcPr>
          <w:p w14:paraId="0D1C20FE">
            <w:pPr>
              <w:jc w:val="both"/>
              <w:rPr>
                <w:rFonts w:cs="Times New Roman"/>
              </w:rPr>
            </w:pPr>
            <w:r>
              <w:rPr>
                <w:rStyle w:val="7"/>
                <w:rFonts w:cs="Times New Roman"/>
              </w:rPr>
              <w:t>IMSP</w:t>
            </w:r>
          </w:p>
        </w:tc>
        <w:tc>
          <w:tcPr>
            <w:tcW w:w="0" w:type="auto"/>
            <w:vAlign w:val="center"/>
          </w:tcPr>
          <w:p w14:paraId="0B2A7523">
            <w:pPr>
              <w:jc w:val="both"/>
              <w:rPr>
                <w:rFonts w:cs="Times New Roman"/>
              </w:rPr>
            </w:pPr>
            <w:r>
              <w:rPr>
                <w:rFonts w:cs="Times New Roman"/>
              </w:rPr>
              <w:t>Instituție Medico-Sanitară Publică</w:t>
            </w:r>
          </w:p>
        </w:tc>
      </w:tr>
      <w:tr w14:paraId="25D80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0" w:type="auto"/>
            <w:vAlign w:val="center"/>
          </w:tcPr>
          <w:p w14:paraId="01D19543">
            <w:pPr>
              <w:jc w:val="both"/>
              <w:rPr>
                <w:rFonts w:cs="Times New Roman"/>
              </w:rPr>
            </w:pPr>
            <w:r>
              <w:rPr>
                <w:rStyle w:val="7"/>
                <w:rFonts w:cs="Times New Roman"/>
              </w:rPr>
              <w:t>CS</w:t>
            </w:r>
          </w:p>
        </w:tc>
        <w:tc>
          <w:tcPr>
            <w:tcW w:w="0" w:type="auto"/>
            <w:vAlign w:val="center"/>
          </w:tcPr>
          <w:p w14:paraId="6057DD77">
            <w:pPr>
              <w:jc w:val="both"/>
              <w:rPr>
                <w:rFonts w:cs="Times New Roman"/>
              </w:rPr>
            </w:pPr>
            <w:r>
              <w:rPr>
                <w:rFonts w:cs="Times New Roman"/>
              </w:rPr>
              <w:t>Centru de Sănătate</w:t>
            </w:r>
          </w:p>
        </w:tc>
      </w:tr>
      <w:tr w14:paraId="44792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0" w:type="auto"/>
            <w:vAlign w:val="center"/>
          </w:tcPr>
          <w:p w14:paraId="6C4E70F1">
            <w:pPr>
              <w:jc w:val="both"/>
              <w:rPr>
                <w:rFonts w:cs="Times New Roman"/>
              </w:rPr>
            </w:pPr>
            <w:r>
              <w:rPr>
                <w:rStyle w:val="7"/>
                <w:rFonts w:cs="Times New Roman"/>
              </w:rPr>
              <w:t>TB</w:t>
            </w:r>
          </w:p>
        </w:tc>
        <w:tc>
          <w:tcPr>
            <w:tcW w:w="0" w:type="auto"/>
            <w:vAlign w:val="center"/>
          </w:tcPr>
          <w:p w14:paraId="184FB255">
            <w:pPr>
              <w:jc w:val="both"/>
              <w:rPr>
                <w:rFonts w:cs="Times New Roman"/>
              </w:rPr>
            </w:pPr>
            <w:r>
              <w:rPr>
                <w:rFonts w:cs="Times New Roman"/>
              </w:rPr>
              <w:t>Tuberculoză</w:t>
            </w:r>
          </w:p>
        </w:tc>
      </w:tr>
      <w:tr w14:paraId="4F3C5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0" w:type="auto"/>
            <w:vAlign w:val="center"/>
          </w:tcPr>
          <w:p w14:paraId="76BB124B">
            <w:pPr>
              <w:jc w:val="both"/>
              <w:rPr>
                <w:rFonts w:cs="Times New Roman"/>
              </w:rPr>
            </w:pPr>
            <w:r>
              <w:rPr>
                <w:rStyle w:val="7"/>
                <w:rFonts w:cs="Times New Roman"/>
              </w:rPr>
              <w:t>TB MDR</w:t>
            </w:r>
          </w:p>
        </w:tc>
        <w:tc>
          <w:tcPr>
            <w:tcW w:w="0" w:type="auto"/>
            <w:vAlign w:val="center"/>
          </w:tcPr>
          <w:p w14:paraId="01B9C80D">
            <w:pPr>
              <w:jc w:val="both"/>
              <w:rPr>
                <w:rFonts w:cs="Times New Roman"/>
              </w:rPr>
            </w:pPr>
            <w:r>
              <w:rPr>
                <w:rFonts w:cs="Times New Roman"/>
              </w:rPr>
              <w:t>Tuberculoză multidrogrezistentă</w:t>
            </w:r>
          </w:p>
        </w:tc>
      </w:tr>
      <w:tr w14:paraId="73E4E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0" w:type="auto"/>
            <w:vAlign w:val="center"/>
          </w:tcPr>
          <w:p w14:paraId="58F53C2A">
            <w:pPr>
              <w:jc w:val="both"/>
              <w:rPr>
                <w:rFonts w:cs="Times New Roman"/>
              </w:rPr>
            </w:pPr>
            <w:r>
              <w:rPr>
                <w:rStyle w:val="7"/>
                <w:rFonts w:cs="Times New Roman"/>
              </w:rPr>
              <w:t>TB RR</w:t>
            </w:r>
          </w:p>
        </w:tc>
        <w:tc>
          <w:tcPr>
            <w:tcW w:w="0" w:type="auto"/>
            <w:vAlign w:val="center"/>
          </w:tcPr>
          <w:p w14:paraId="5311FB5C">
            <w:pPr>
              <w:jc w:val="both"/>
              <w:rPr>
                <w:rFonts w:cs="Times New Roman"/>
              </w:rPr>
            </w:pPr>
            <w:r>
              <w:rPr>
                <w:rFonts w:cs="Times New Roman"/>
              </w:rPr>
              <w:t>Tuberculoză rezistentă la rifampicină</w:t>
            </w:r>
          </w:p>
        </w:tc>
      </w:tr>
      <w:tr w14:paraId="3DB43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0" w:type="auto"/>
            <w:vAlign w:val="center"/>
          </w:tcPr>
          <w:p w14:paraId="303FF986">
            <w:pPr>
              <w:jc w:val="both"/>
              <w:rPr>
                <w:rFonts w:cs="Times New Roman"/>
              </w:rPr>
            </w:pPr>
            <w:r>
              <w:rPr>
                <w:rStyle w:val="7"/>
                <w:rFonts w:cs="Times New Roman"/>
              </w:rPr>
              <w:t>TB/HIV</w:t>
            </w:r>
          </w:p>
        </w:tc>
        <w:tc>
          <w:tcPr>
            <w:tcW w:w="0" w:type="auto"/>
            <w:vAlign w:val="center"/>
          </w:tcPr>
          <w:p w14:paraId="21546505">
            <w:pPr>
              <w:jc w:val="both"/>
              <w:rPr>
                <w:rFonts w:cs="Times New Roman"/>
              </w:rPr>
            </w:pPr>
            <w:r>
              <w:rPr>
                <w:rFonts w:cs="Times New Roman"/>
              </w:rPr>
              <w:t>Coinfecție tuberculoză și infecție cu HIV</w:t>
            </w:r>
          </w:p>
        </w:tc>
      </w:tr>
      <w:tr w14:paraId="79F4E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0" w:type="auto"/>
            <w:vAlign w:val="center"/>
          </w:tcPr>
          <w:p w14:paraId="454B271D">
            <w:pPr>
              <w:jc w:val="both"/>
              <w:rPr>
                <w:rFonts w:cs="Times New Roman"/>
              </w:rPr>
            </w:pPr>
            <w:r>
              <w:rPr>
                <w:rStyle w:val="7"/>
                <w:rFonts w:cs="Times New Roman"/>
              </w:rPr>
              <w:t>HIV</w:t>
            </w:r>
          </w:p>
        </w:tc>
        <w:tc>
          <w:tcPr>
            <w:tcW w:w="0" w:type="auto"/>
            <w:vAlign w:val="center"/>
          </w:tcPr>
          <w:p w14:paraId="6F285940">
            <w:pPr>
              <w:jc w:val="both"/>
              <w:rPr>
                <w:rFonts w:cs="Times New Roman"/>
              </w:rPr>
            </w:pPr>
            <w:r>
              <w:rPr>
                <w:rFonts w:cs="Times New Roman"/>
              </w:rPr>
              <w:t>Virusul imunodeficienței umane</w:t>
            </w:r>
          </w:p>
        </w:tc>
      </w:tr>
      <w:tr w14:paraId="7B952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0" w:type="auto"/>
            <w:vAlign w:val="center"/>
          </w:tcPr>
          <w:p w14:paraId="42F4FD56">
            <w:pPr>
              <w:jc w:val="both"/>
              <w:rPr>
                <w:rFonts w:cs="Times New Roman"/>
              </w:rPr>
            </w:pPr>
            <w:r>
              <w:rPr>
                <w:rStyle w:val="7"/>
                <w:rFonts w:cs="Times New Roman"/>
              </w:rPr>
              <w:t>BCG</w:t>
            </w:r>
          </w:p>
        </w:tc>
        <w:tc>
          <w:tcPr>
            <w:tcW w:w="0" w:type="auto"/>
            <w:vAlign w:val="center"/>
          </w:tcPr>
          <w:p w14:paraId="4BA7B345">
            <w:pPr>
              <w:jc w:val="both"/>
              <w:rPr>
                <w:rFonts w:cs="Times New Roman"/>
              </w:rPr>
            </w:pPr>
            <w:r>
              <w:rPr>
                <w:rFonts w:cs="Times New Roman"/>
              </w:rPr>
              <w:t>Bacil Calmette–Guérin (vaccin împotriva tuberculozei)</w:t>
            </w:r>
          </w:p>
        </w:tc>
      </w:tr>
      <w:tr w14:paraId="2BBC4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0" w:type="auto"/>
            <w:vAlign w:val="center"/>
          </w:tcPr>
          <w:p w14:paraId="2527411F">
            <w:pPr>
              <w:jc w:val="both"/>
              <w:rPr>
                <w:rFonts w:cs="Times New Roman"/>
              </w:rPr>
            </w:pPr>
            <w:r>
              <w:rPr>
                <w:rStyle w:val="7"/>
                <w:rFonts w:cs="Times New Roman"/>
              </w:rPr>
              <w:t>BAAR</w:t>
            </w:r>
          </w:p>
        </w:tc>
        <w:tc>
          <w:tcPr>
            <w:tcW w:w="0" w:type="auto"/>
            <w:vAlign w:val="center"/>
          </w:tcPr>
          <w:p w14:paraId="6DFA05C5">
            <w:pPr>
              <w:jc w:val="both"/>
              <w:rPr>
                <w:rFonts w:cs="Times New Roman"/>
              </w:rPr>
            </w:pPr>
            <w:r>
              <w:rPr>
                <w:rFonts w:cs="Times New Roman"/>
              </w:rPr>
              <w:t>Bacili acido-alcoolo-rezistenți</w:t>
            </w:r>
          </w:p>
        </w:tc>
      </w:tr>
      <w:tr w14:paraId="53D90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0" w:type="auto"/>
            <w:vAlign w:val="center"/>
          </w:tcPr>
          <w:p w14:paraId="71628BDE">
            <w:pPr>
              <w:jc w:val="both"/>
              <w:rPr>
                <w:rFonts w:cs="Times New Roman"/>
              </w:rPr>
            </w:pPr>
            <w:r>
              <w:rPr>
                <w:rStyle w:val="7"/>
                <w:rFonts w:cs="Times New Roman"/>
              </w:rPr>
              <w:t>DOT</w:t>
            </w:r>
          </w:p>
        </w:tc>
        <w:tc>
          <w:tcPr>
            <w:tcW w:w="0" w:type="auto"/>
            <w:vAlign w:val="center"/>
          </w:tcPr>
          <w:p w14:paraId="6C9CBBAE">
            <w:pPr>
              <w:jc w:val="both"/>
              <w:rPr>
                <w:rFonts w:cs="Times New Roman"/>
              </w:rPr>
            </w:pPr>
            <w:r>
              <w:rPr>
                <w:rFonts w:cs="Times New Roman"/>
              </w:rPr>
              <w:t>Tratament direct observat/supravegheat</w:t>
            </w:r>
          </w:p>
        </w:tc>
      </w:tr>
      <w:tr w14:paraId="59C04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0" w:type="auto"/>
            <w:vAlign w:val="center"/>
          </w:tcPr>
          <w:p w14:paraId="4732EEC6">
            <w:pPr>
              <w:jc w:val="both"/>
              <w:rPr>
                <w:rFonts w:cs="Times New Roman"/>
              </w:rPr>
            </w:pPr>
            <w:r>
              <w:rPr>
                <w:rStyle w:val="7"/>
                <w:rFonts w:cs="Times New Roman"/>
              </w:rPr>
              <w:t>VST</w:t>
            </w:r>
          </w:p>
        </w:tc>
        <w:tc>
          <w:tcPr>
            <w:tcW w:w="0" w:type="auto"/>
            <w:vAlign w:val="center"/>
          </w:tcPr>
          <w:p w14:paraId="07FEEC6A">
            <w:pPr>
              <w:jc w:val="both"/>
              <w:rPr>
                <w:rFonts w:cs="Times New Roman"/>
              </w:rPr>
            </w:pPr>
            <w:r>
              <w:rPr>
                <w:rFonts w:cs="Times New Roman"/>
              </w:rPr>
              <w:t>Tratament videoasistat</w:t>
            </w:r>
          </w:p>
        </w:tc>
      </w:tr>
      <w:tr w14:paraId="431FA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0" w:type="auto"/>
            <w:vAlign w:val="center"/>
          </w:tcPr>
          <w:p w14:paraId="3F80DFF7">
            <w:pPr>
              <w:jc w:val="both"/>
              <w:rPr>
                <w:rFonts w:cs="Times New Roman"/>
              </w:rPr>
            </w:pPr>
            <w:r>
              <w:rPr>
                <w:rStyle w:val="7"/>
                <w:rFonts w:cs="Times New Roman"/>
              </w:rPr>
              <w:t>TARV</w:t>
            </w:r>
          </w:p>
        </w:tc>
        <w:tc>
          <w:tcPr>
            <w:tcW w:w="0" w:type="auto"/>
            <w:vAlign w:val="center"/>
          </w:tcPr>
          <w:p w14:paraId="4E1CD4E1">
            <w:pPr>
              <w:jc w:val="both"/>
              <w:rPr>
                <w:rFonts w:cs="Times New Roman"/>
              </w:rPr>
            </w:pPr>
            <w:r>
              <w:rPr>
                <w:rFonts w:cs="Times New Roman"/>
              </w:rPr>
              <w:t>Tratament antiretroviral</w:t>
            </w:r>
          </w:p>
        </w:tc>
      </w:tr>
      <w:tr w14:paraId="057F2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0" w:type="auto"/>
            <w:vAlign w:val="center"/>
          </w:tcPr>
          <w:p w14:paraId="30522291">
            <w:pPr>
              <w:jc w:val="both"/>
              <w:rPr>
                <w:rFonts w:cs="Times New Roman"/>
              </w:rPr>
            </w:pPr>
            <w:r>
              <w:rPr>
                <w:rStyle w:val="7"/>
                <w:rFonts w:cs="Times New Roman"/>
              </w:rPr>
              <w:t>GeneXpert</w:t>
            </w:r>
          </w:p>
        </w:tc>
        <w:tc>
          <w:tcPr>
            <w:tcW w:w="0" w:type="auto"/>
            <w:vAlign w:val="center"/>
          </w:tcPr>
          <w:p w14:paraId="5A04CED2">
            <w:pPr>
              <w:jc w:val="both"/>
              <w:rPr>
                <w:rFonts w:cs="Times New Roman"/>
              </w:rPr>
            </w:pPr>
            <w:r>
              <w:rPr>
                <w:rFonts w:cs="Times New Roman"/>
              </w:rPr>
              <w:t xml:space="preserve">Sistem de diagnostic molecular rapid utilizat pentru detectarea </w:t>
            </w:r>
            <w:r>
              <w:rPr>
                <w:rStyle w:val="6"/>
                <w:rFonts w:cs="Times New Roman"/>
              </w:rPr>
              <w:t>Mycobacterium tuberculosis</w:t>
            </w:r>
            <w:r>
              <w:rPr>
                <w:rFonts w:cs="Times New Roman"/>
              </w:rPr>
              <w:t xml:space="preserve"> și a rezistenței la rifampicină</w:t>
            </w:r>
          </w:p>
        </w:tc>
      </w:tr>
      <w:tr w14:paraId="190E4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0" w:type="auto"/>
            <w:vAlign w:val="center"/>
          </w:tcPr>
          <w:p w14:paraId="79EE4EC3">
            <w:pPr>
              <w:jc w:val="both"/>
              <w:rPr>
                <w:rFonts w:cs="Times New Roman"/>
              </w:rPr>
            </w:pPr>
            <w:r>
              <w:rPr>
                <w:rStyle w:val="7"/>
                <w:rFonts w:cs="Times New Roman"/>
              </w:rPr>
              <w:t>SIME TB</w:t>
            </w:r>
          </w:p>
        </w:tc>
        <w:tc>
          <w:tcPr>
            <w:tcW w:w="0" w:type="auto"/>
            <w:vAlign w:val="center"/>
          </w:tcPr>
          <w:p w14:paraId="46507E68">
            <w:pPr>
              <w:jc w:val="both"/>
              <w:rPr>
                <w:rFonts w:cs="Times New Roman"/>
              </w:rPr>
            </w:pPr>
            <w:r>
              <w:rPr>
                <w:rFonts w:cs="Times New Roman"/>
              </w:rPr>
              <w:t>Sistemul informațional „Monitorizarea și evaluarea tuberculozei”</w:t>
            </w:r>
          </w:p>
        </w:tc>
      </w:tr>
      <w:tr w14:paraId="24580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0" w:type="auto"/>
            <w:vAlign w:val="center"/>
          </w:tcPr>
          <w:p w14:paraId="53D807A7">
            <w:pPr>
              <w:jc w:val="both"/>
              <w:rPr>
                <w:rFonts w:cs="Times New Roman"/>
              </w:rPr>
            </w:pPr>
            <w:r>
              <w:rPr>
                <w:rStyle w:val="7"/>
                <w:rFonts w:cs="Times New Roman"/>
              </w:rPr>
              <w:t>CNAM</w:t>
            </w:r>
          </w:p>
        </w:tc>
        <w:tc>
          <w:tcPr>
            <w:tcW w:w="0" w:type="auto"/>
            <w:vAlign w:val="center"/>
          </w:tcPr>
          <w:p w14:paraId="21AA7BB2">
            <w:pPr>
              <w:jc w:val="both"/>
              <w:rPr>
                <w:rFonts w:cs="Times New Roman"/>
              </w:rPr>
            </w:pPr>
            <w:r>
              <w:rPr>
                <w:rFonts w:cs="Times New Roman"/>
              </w:rPr>
              <w:t>Compania Națională de Asigurări în Medicină</w:t>
            </w:r>
          </w:p>
        </w:tc>
      </w:tr>
      <w:tr w14:paraId="26AD1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0" w:type="auto"/>
            <w:vAlign w:val="center"/>
          </w:tcPr>
          <w:p w14:paraId="61694853">
            <w:pPr>
              <w:jc w:val="both"/>
              <w:rPr>
                <w:rFonts w:cs="Times New Roman"/>
              </w:rPr>
            </w:pPr>
            <w:r>
              <w:rPr>
                <w:rStyle w:val="7"/>
                <w:rFonts w:cs="Times New Roman"/>
              </w:rPr>
              <w:t>AOAM</w:t>
            </w:r>
          </w:p>
        </w:tc>
        <w:tc>
          <w:tcPr>
            <w:tcW w:w="0" w:type="auto"/>
            <w:vAlign w:val="center"/>
          </w:tcPr>
          <w:p w14:paraId="1F0890F0">
            <w:pPr>
              <w:jc w:val="both"/>
              <w:rPr>
                <w:rFonts w:cs="Times New Roman"/>
              </w:rPr>
            </w:pPr>
            <w:r>
              <w:rPr>
                <w:rFonts w:cs="Times New Roman"/>
              </w:rPr>
              <w:t>Asigurarea obligatorie de asistență medicală</w:t>
            </w:r>
          </w:p>
        </w:tc>
      </w:tr>
      <w:tr w14:paraId="1C520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0" w:type="auto"/>
            <w:vAlign w:val="center"/>
          </w:tcPr>
          <w:p w14:paraId="59B96825">
            <w:pPr>
              <w:jc w:val="both"/>
              <w:rPr>
                <w:rFonts w:cs="Times New Roman"/>
              </w:rPr>
            </w:pPr>
            <w:r>
              <w:rPr>
                <w:rStyle w:val="7"/>
                <w:rFonts w:cs="Times New Roman"/>
              </w:rPr>
              <w:t>ONG</w:t>
            </w:r>
          </w:p>
        </w:tc>
        <w:tc>
          <w:tcPr>
            <w:tcW w:w="0" w:type="auto"/>
            <w:vAlign w:val="center"/>
          </w:tcPr>
          <w:p w14:paraId="38DD494E">
            <w:pPr>
              <w:jc w:val="both"/>
              <w:rPr>
                <w:rFonts w:cs="Times New Roman"/>
              </w:rPr>
            </w:pPr>
            <w:r>
              <w:rPr>
                <w:rFonts w:cs="Times New Roman"/>
              </w:rPr>
              <w:t>Organizație neguvernamentală</w:t>
            </w:r>
          </w:p>
        </w:tc>
      </w:tr>
      <w:tr w14:paraId="4618E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0" w:type="auto"/>
            <w:vAlign w:val="center"/>
          </w:tcPr>
          <w:p w14:paraId="1181F584">
            <w:pPr>
              <w:jc w:val="both"/>
              <w:rPr>
                <w:rFonts w:cs="Times New Roman"/>
              </w:rPr>
            </w:pPr>
            <w:r>
              <w:rPr>
                <w:rStyle w:val="7"/>
                <w:rFonts w:cs="Times New Roman"/>
              </w:rPr>
              <w:t>PCI</w:t>
            </w:r>
          </w:p>
        </w:tc>
        <w:tc>
          <w:tcPr>
            <w:tcW w:w="0" w:type="auto"/>
            <w:vAlign w:val="center"/>
          </w:tcPr>
          <w:p w14:paraId="41B489D7">
            <w:pPr>
              <w:jc w:val="both"/>
              <w:rPr>
                <w:rFonts w:cs="Times New Roman"/>
              </w:rPr>
            </w:pPr>
            <w:r>
              <w:rPr>
                <w:rFonts w:cs="Times New Roman"/>
              </w:rPr>
              <w:t>Prevenirea și controlul infecțiilor</w:t>
            </w:r>
          </w:p>
        </w:tc>
      </w:tr>
      <w:tr w14:paraId="19F4B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0" w:type="auto"/>
            <w:vAlign w:val="center"/>
          </w:tcPr>
          <w:p w14:paraId="43B57FAB">
            <w:pPr>
              <w:jc w:val="both"/>
              <w:rPr>
                <w:rFonts w:cs="Times New Roman"/>
              </w:rPr>
            </w:pPr>
            <w:r>
              <w:rPr>
                <w:rStyle w:val="7"/>
              </w:rPr>
              <w:t>AMSA</w:t>
            </w:r>
          </w:p>
        </w:tc>
        <w:tc>
          <w:tcPr>
            <w:tcW w:w="0" w:type="auto"/>
            <w:vAlign w:val="center"/>
          </w:tcPr>
          <w:p w14:paraId="24EFAE0C">
            <w:pPr>
              <w:jc w:val="both"/>
              <w:rPr>
                <w:rFonts w:cs="Times New Roman"/>
              </w:rPr>
            </w:pPr>
            <w:r>
              <w:rPr>
                <w:rFonts w:cs="Times New Roman"/>
              </w:rPr>
              <w:t>Asistență medicală specializată de ambulator</w:t>
            </w:r>
          </w:p>
        </w:tc>
      </w:tr>
    </w:tbl>
    <w:p w14:paraId="5D18B718">
      <w:pPr>
        <w:jc w:val="both"/>
        <w:rPr>
          <w:rFonts w:cs="Times New Roman"/>
        </w:rPr>
      </w:pPr>
    </w:p>
    <w:sectPr>
      <w:pgSz w:w="11910" w:h="16840"/>
      <w:pgMar w:top="1020" w:right="964" w:bottom="1020" w:left="1134"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Times New Roma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CC"/>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Cambria">
    <w:panose1 w:val="02040503050406030204"/>
    <w:charset w:val="CC"/>
    <w:family w:val="roman"/>
    <w:pitch w:val="default"/>
    <w:sig w:usb0="E00006FF" w:usb1="420024FF" w:usb2="02000000" w:usb3="00000000" w:csb0="2000019F" w:csb1="00000000"/>
  </w:font>
  <w:font w:name="Tahoma">
    <w:panose1 w:val="020B0604030504040204"/>
    <w:charset w:val="CC"/>
    <w:family w:val="swiss"/>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BE43BA3"/>
    <w:multiLevelType w:val="multilevel"/>
    <w:tmpl w:val="1BE43BA3"/>
    <w:lvl w:ilvl="0" w:tentative="0">
      <w:start w:val="1"/>
      <w:numFmt w:val="decimal"/>
      <w:lvlText w:val="%1."/>
      <w:lvlJc w:val="left"/>
      <w:pPr>
        <w:ind w:left="1578" w:hanging="301"/>
        <w:jc w:val="left"/>
      </w:pPr>
      <w:rPr>
        <w:rFonts w:hint="default" w:ascii="Cambria" w:hAnsi="Cambria" w:eastAsia="Cambria" w:cs="Cambria"/>
        <w:b/>
        <w:bCs/>
        <w:i w:val="0"/>
        <w:iCs w:val="0"/>
        <w:spacing w:val="0"/>
        <w:w w:val="105"/>
        <w:sz w:val="24"/>
        <w:szCs w:val="24"/>
        <w:lang w:val="ro-RO" w:eastAsia="en-US" w:bidi="ar-SA"/>
      </w:rPr>
    </w:lvl>
    <w:lvl w:ilvl="1" w:tentative="0">
      <w:start w:val="1"/>
      <w:numFmt w:val="decimal"/>
      <w:lvlText w:val="%1.%2."/>
      <w:lvlJc w:val="left"/>
      <w:pPr>
        <w:ind w:left="1331" w:hanging="481"/>
        <w:jc w:val="left"/>
      </w:pPr>
      <w:rPr>
        <w:rFonts w:hint="default" w:ascii="Cambria" w:hAnsi="Cambria" w:eastAsia="Cambria" w:cs="Cambria"/>
        <w:b w:val="0"/>
        <w:bCs w:val="0"/>
        <w:i w:val="0"/>
        <w:iCs w:val="0"/>
        <w:spacing w:val="0"/>
        <w:w w:val="113"/>
        <w:sz w:val="24"/>
        <w:szCs w:val="24"/>
        <w:lang w:val="ro-RO" w:eastAsia="en-US" w:bidi="ar-SA"/>
      </w:rPr>
    </w:lvl>
    <w:lvl w:ilvl="2" w:tentative="0">
      <w:start w:val="1"/>
      <w:numFmt w:val="decimal"/>
      <w:lvlText w:val="%1.%2.%3."/>
      <w:lvlJc w:val="left"/>
      <w:pPr>
        <w:ind w:left="142" w:hanging="773"/>
        <w:jc w:val="left"/>
      </w:pPr>
      <w:rPr>
        <w:rFonts w:hint="default" w:ascii="Cambria" w:hAnsi="Cambria" w:eastAsia="Cambria" w:cs="Cambria"/>
        <w:b w:val="0"/>
        <w:bCs w:val="0"/>
        <w:i w:val="0"/>
        <w:iCs w:val="0"/>
        <w:spacing w:val="0"/>
        <w:w w:val="113"/>
        <w:sz w:val="24"/>
        <w:szCs w:val="24"/>
        <w:lang w:val="ro-RO" w:eastAsia="en-US" w:bidi="ar-SA"/>
      </w:rPr>
    </w:lvl>
    <w:lvl w:ilvl="3" w:tentative="0">
      <w:start w:val="0"/>
      <w:numFmt w:val="bullet"/>
      <w:lvlText w:val="•"/>
      <w:lvlJc w:val="left"/>
      <w:pPr>
        <w:ind w:left="1520" w:hanging="773"/>
      </w:pPr>
      <w:rPr>
        <w:rFonts w:hint="default"/>
        <w:lang w:val="ro-RO" w:eastAsia="en-US" w:bidi="ar-SA"/>
      </w:rPr>
    </w:lvl>
    <w:lvl w:ilvl="4" w:tentative="0">
      <w:start w:val="0"/>
      <w:numFmt w:val="bullet"/>
      <w:lvlText w:val="•"/>
      <w:lvlJc w:val="left"/>
      <w:pPr>
        <w:ind w:left="1540" w:hanging="773"/>
      </w:pPr>
      <w:rPr>
        <w:rFonts w:hint="default"/>
        <w:lang w:val="ro-RO" w:eastAsia="en-US" w:bidi="ar-SA"/>
      </w:rPr>
    </w:lvl>
    <w:lvl w:ilvl="5" w:tentative="0">
      <w:start w:val="0"/>
      <w:numFmt w:val="bullet"/>
      <w:lvlText w:val="•"/>
      <w:lvlJc w:val="left"/>
      <w:pPr>
        <w:ind w:left="3031" w:hanging="773"/>
      </w:pPr>
      <w:rPr>
        <w:rFonts w:hint="default"/>
        <w:lang w:val="ro-RO" w:eastAsia="en-US" w:bidi="ar-SA"/>
      </w:rPr>
    </w:lvl>
    <w:lvl w:ilvl="6" w:tentative="0">
      <w:start w:val="0"/>
      <w:numFmt w:val="bullet"/>
      <w:lvlText w:val="•"/>
      <w:lvlJc w:val="left"/>
      <w:pPr>
        <w:ind w:left="4523" w:hanging="773"/>
      </w:pPr>
      <w:rPr>
        <w:rFonts w:hint="default"/>
        <w:lang w:val="ro-RO" w:eastAsia="en-US" w:bidi="ar-SA"/>
      </w:rPr>
    </w:lvl>
    <w:lvl w:ilvl="7" w:tentative="0">
      <w:start w:val="0"/>
      <w:numFmt w:val="bullet"/>
      <w:lvlText w:val="•"/>
      <w:lvlJc w:val="left"/>
      <w:pPr>
        <w:ind w:left="6014" w:hanging="773"/>
      </w:pPr>
      <w:rPr>
        <w:rFonts w:hint="default"/>
        <w:lang w:val="ro-RO" w:eastAsia="en-US" w:bidi="ar-SA"/>
      </w:rPr>
    </w:lvl>
    <w:lvl w:ilvl="8" w:tentative="0">
      <w:start w:val="0"/>
      <w:numFmt w:val="bullet"/>
      <w:lvlText w:val="•"/>
      <w:lvlJc w:val="left"/>
      <w:pPr>
        <w:ind w:left="7506" w:hanging="773"/>
      </w:pPr>
      <w:rPr>
        <w:rFonts w:hint="default"/>
        <w:lang w:val="ro-RO"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hideSpellingErrors/>
  <w:documentProtection w:enforcement="0"/>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428D"/>
    <w:rsid w:val="00042251"/>
    <w:rsid w:val="000601F2"/>
    <w:rsid w:val="00070F33"/>
    <w:rsid w:val="000A7D81"/>
    <w:rsid w:val="000D0559"/>
    <w:rsid w:val="00111088"/>
    <w:rsid w:val="001226A5"/>
    <w:rsid w:val="001626A7"/>
    <w:rsid w:val="001966E4"/>
    <w:rsid w:val="001D6BF0"/>
    <w:rsid w:val="002170BE"/>
    <w:rsid w:val="00221805"/>
    <w:rsid w:val="002342EF"/>
    <w:rsid w:val="00243DCF"/>
    <w:rsid w:val="00256BC0"/>
    <w:rsid w:val="00286DAB"/>
    <w:rsid w:val="00286DC5"/>
    <w:rsid w:val="002A7F8E"/>
    <w:rsid w:val="002B07D6"/>
    <w:rsid w:val="002C18B5"/>
    <w:rsid w:val="002D668B"/>
    <w:rsid w:val="002F168B"/>
    <w:rsid w:val="002F1A33"/>
    <w:rsid w:val="002F2AAF"/>
    <w:rsid w:val="003523EA"/>
    <w:rsid w:val="0038528C"/>
    <w:rsid w:val="003B61A9"/>
    <w:rsid w:val="003D19B1"/>
    <w:rsid w:val="003E1198"/>
    <w:rsid w:val="003F6B4D"/>
    <w:rsid w:val="00420BC4"/>
    <w:rsid w:val="00425FC4"/>
    <w:rsid w:val="00441D6A"/>
    <w:rsid w:val="00497F00"/>
    <w:rsid w:val="004A2481"/>
    <w:rsid w:val="004E536C"/>
    <w:rsid w:val="004F4DD5"/>
    <w:rsid w:val="00503026"/>
    <w:rsid w:val="00504B19"/>
    <w:rsid w:val="005069A7"/>
    <w:rsid w:val="005365E9"/>
    <w:rsid w:val="00561719"/>
    <w:rsid w:val="00596318"/>
    <w:rsid w:val="005D5AC0"/>
    <w:rsid w:val="005E1CF6"/>
    <w:rsid w:val="005E1E1F"/>
    <w:rsid w:val="00603FFE"/>
    <w:rsid w:val="00642277"/>
    <w:rsid w:val="00691CE4"/>
    <w:rsid w:val="00692590"/>
    <w:rsid w:val="006B53BA"/>
    <w:rsid w:val="006B6A32"/>
    <w:rsid w:val="006F424E"/>
    <w:rsid w:val="006F4CA5"/>
    <w:rsid w:val="007029B0"/>
    <w:rsid w:val="0070764E"/>
    <w:rsid w:val="00744699"/>
    <w:rsid w:val="00750384"/>
    <w:rsid w:val="007524B7"/>
    <w:rsid w:val="007552EC"/>
    <w:rsid w:val="00767CE5"/>
    <w:rsid w:val="007E5A2F"/>
    <w:rsid w:val="008509FD"/>
    <w:rsid w:val="00852043"/>
    <w:rsid w:val="008B1C1E"/>
    <w:rsid w:val="00915846"/>
    <w:rsid w:val="009222B1"/>
    <w:rsid w:val="0094064F"/>
    <w:rsid w:val="009B4F60"/>
    <w:rsid w:val="009F570C"/>
    <w:rsid w:val="00A4758E"/>
    <w:rsid w:val="00A80136"/>
    <w:rsid w:val="00A82890"/>
    <w:rsid w:val="00A901E2"/>
    <w:rsid w:val="00AA70F7"/>
    <w:rsid w:val="00AD005B"/>
    <w:rsid w:val="00B01F55"/>
    <w:rsid w:val="00B42FE7"/>
    <w:rsid w:val="00BC290A"/>
    <w:rsid w:val="00BC4103"/>
    <w:rsid w:val="00BF3658"/>
    <w:rsid w:val="00C0068A"/>
    <w:rsid w:val="00C05BF8"/>
    <w:rsid w:val="00C411AD"/>
    <w:rsid w:val="00C41D8B"/>
    <w:rsid w:val="00C5580D"/>
    <w:rsid w:val="00C75CF6"/>
    <w:rsid w:val="00CD47F3"/>
    <w:rsid w:val="00D159B5"/>
    <w:rsid w:val="00D630A3"/>
    <w:rsid w:val="00D94674"/>
    <w:rsid w:val="00DD579D"/>
    <w:rsid w:val="00E05539"/>
    <w:rsid w:val="00E2428D"/>
    <w:rsid w:val="00E4189D"/>
    <w:rsid w:val="00E63C2E"/>
    <w:rsid w:val="00E85679"/>
    <w:rsid w:val="00EB22C2"/>
    <w:rsid w:val="00EC73B8"/>
    <w:rsid w:val="00ED12FF"/>
    <w:rsid w:val="00ED66A9"/>
    <w:rsid w:val="00F25AF4"/>
    <w:rsid w:val="00F55404"/>
    <w:rsid w:val="00F70134"/>
    <w:rsid w:val="00F8079C"/>
    <w:rsid w:val="00FA2D6D"/>
    <w:rsid w:val="00FD2028"/>
    <w:rsid w:val="00FF46CC"/>
    <w:rsid w:val="01570E1A"/>
    <w:rsid w:val="15B00287"/>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 w:semiHidden="0" w:name="Title"/>
    <w:lsdException w:uiPriority="99" w:name="Closing"/>
    <w:lsdException w:uiPriority="99" w:name="Signature"/>
    <w:lsdException w:qFormat="1" w:uiPriority="1" w:semiHidden="0"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1" w:semiHidden="0" w:name="List Paragraph"/>
  </w:latentStyles>
  <w:style w:type="paragraph" w:default="1" w:styleId="1">
    <w:name w:val="Normal"/>
    <w:qFormat/>
    <w:uiPriority w:val="1"/>
    <w:pPr>
      <w:widowControl w:val="0"/>
      <w:autoSpaceDE w:val="0"/>
      <w:autoSpaceDN w:val="0"/>
    </w:pPr>
    <w:rPr>
      <w:rFonts w:ascii="Times New Roman" w:hAnsi="Times New Roman" w:eastAsia="Cambria" w:cs="Cambria"/>
      <w:sz w:val="22"/>
      <w:szCs w:val="22"/>
      <w:lang w:val="ro-RO" w:eastAsia="en-US" w:bidi="ar-SA"/>
    </w:rPr>
  </w:style>
  <w:style w:type="paragraph" w:styleId="2">
    <w:name w:val="heading 1"/>
    <w:basedOn w:val="1"/>
    <w:link w:val="20"/>
    <w:qFormat/>
    <w:uiPriority w:val="1"/>
    <w:pPr>
      <w:ind w:left="3497"/>
      <w:outlineLvl w:val="0"/>
    </w:pPr>
    <w:rPr>
      <w:b/>
      <w:bCs/>
      <w:sz w:val="24"/>
      <w:szCs w:val="24"/>
    </w:rPr>
  </w:style>
  <w:style w:type="paragraph" w:styleId="3">
    <w:name w:val="heading 3"/>
    <w:basedOn w:val="1"/>
    <w:next w:val="1"/>
    <w:link w:val="21"/>
    <w:semiHidden/>
    <w:unhideWhenUsed/>
    <w:qFormat/>
    <w:uiPriority w:val="9"/>
    <w:pPr>
      <w:keepNext/>
      <w:keepLines/>
      <w:spacing w:before="40"/>
      <w:outlineLvl w:val="2"/>
    </w:pPr>
    <w:rPr>
      <w:rFonts w:asciiTheme="majorHAnsi" w:hAnsiTheme="majorHAnsi" w:eastAsiaTheme="majorEastAsia" w:cstheme="majorBidi"/>
      <w:color w:val="254061" w:themeColor="accent1" w:themeShade="80"/>
      <w:sz w:val="24"/>
      <w:szCs w:val="24"/>
    </w:rPr>
  </w:style>
  <w:style w:type="character" w:default="1" w:styleId="4">
    <w:name w:val="Default Paragraph Font"/>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character" w:styleId="6">
    <w:name w:val="Emphasis"/>
    <w:basedOn w:val="4"/>
    <w:qFormat/>
    <w:uiPriority w:val="20"/>
    <w:rPr>
      <w:i/>
      <w:iCs/>
    </w:rPr>
  </w:style>
  <w:style w:type="character" w:styleId="7">
    <w:name w:val="Strong"/>
    <w:basedOn w:val="4"/>
    <w:qFormat/>
    <w:uiPriority w:val="22"/>
    <w:rPr>
      <w:b/>
      <w:bCs/>
    </w:rPr>
  </w:style>
  <w:style w:type="paragraph" w:styleId="8">
    <w:name w:val="Balloon Text"/>
    <w:basedOn w:val="1"/>
    <w:link w:val="17"/>
    <w:semiHidden/>
    <w:unhideWhenUsed/>
    <w:qFormat/>
    <w:uiPriority w:val="99"/>
    <w:rPr>
      <w:rFonts w:ascii="Tahoma" w:hAnsi="Tahoma" w:cs="Tahoma"/>
      <w:sz w:val="16"/>
      <w:szCs w:val="16"/>
    </w:rPr>
  </w:style>
  <w:style w:type="paragraph" w:styleId="9">
    <w:name w:val="header"/>
    <w:basedOn w:val="1"/>
    <w:link w:val="18"/>
    <w:unhideWhenUsed/>
    <w:qFormat/>
    <w:uiPriority w:val="99"/>
    <w:pPr>
      <w:tabs>
        <w:tab w:val="center" w:pos="4677"/>
        <w:tab w:val="right" w:pos="9355"/>
      </w:tabs>
    </w:pPr>
  </w:style>
  <w:style w:type="paragraph" w:styleId="10">
    <w:name w:val="Body Text"/>
    <w:basedOn w:val="1"/>
    <w:qFormat/>
    <w:uiPriority w:val="1"/>
    <w:rPr>
      <w:sz w:val="24"/>
      <w:szCs w:val="24"/>
    </w:rPr>
  </w:style>
  <w:style w:type="paragraph" w:styleId="11">
    <w:name w:val="Title"/>
    <w:basedOn w:val="1"/>
    <w:qFormat/>
    <w:uiPriority w:val="1"/>
    <w:pPr>
      <w:ind w:left="3497" w:right="3497"/>
      <w:jc w:val="center"/>
    </w:pPr>
    <w:rPr>
      <w:sz w:val="28"/>
      <w:szCs w:val="28"/>
    </w:rPr>
  </w:style>
  <w:style w:type="paragraph" w:styleId="12">
    <w:name w:val="footer"/>
    <w:basedOn w:val="1"/>
    <w:link w:val="19"/>
    <w:unhideWhenUsed/>
    <w:qFormat/>
    <w:uiPriority w:val="99"/>
    <w:pPr>
      <w:tabs>
        <w:tab w:val="center" w:pos="4677"/>
        <w:tab w:val="right" w:pos="9355"/>
      </w:tabs>
    </w:pPr>
  </w:style>
  <w:style w:type="table" w:styleId="13">
    <w:name w:val="Table Grid"/>
    <w:basedOn w:val="5"/>
    <w:qFormat/>
    <w:uiPriority w:val="39"/>
    <w:rPr>
      <w:lang w:val="ro-RO"/>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
    <w:name w:val="Table Normal"/>
    <w:semiHidden/>
    <w:unhideWhenUsed/>
    <w:qFormat/>
    <w:uiPriority w:val="2"/>
    <w:tblPr>
      <w:tblCellMar>
        <w:top w:w="0" w:type="dxa"/>
        <w:left w:w="0" w:type="dxa"/>
        <w:bottom w:w="0" w:type="dxa"/>
        <w:right w:w="0" w:type="dxa"/>
      </w:tblCellMar>
    </w:tblPr>
  </w:style>
  <w:style w:type="paragraph" w:styleId="15">
    <w:name w:val="List Paragraph"/>
    <w:basedOn w:val="1"/>
    <w:qFormat/>
    <w:uiPriority w:val="1"/>
    <w:pPr>
      <w:ind w:left="142" w:firstLine="709"/>
      <w:jc w:val="both"/>
    </w:pPr>
  </w:style>
  <w:style w:type="paragraph" w:customStyle="1" w:styleId="16">
    <w:name w:val="Table Paragraph"/>
    <w:basedOn w:val="1"/>
    <w:qFormat/>
    <w:uiPriority w:val="1"/>
  </w:style>
  <w:style w:type="character" w:customStyle="1" w:styleId="17">
    <w:name w:val="Текст выноски Знак"/>
    <w:basedOn w:val="4"/>
    <w:link w:val="8"/>
    <w:semiHidden/>
    <w:qFormat/>
    <w:uiPriority w:val="99"/>
    <w:rPr>
      <w:rFonts w:ascii="Tahoma" w:hAnsi="Tahoma" w:eastAsia="Cambria" w:cs="Tahoma"/>
      <w:sz w:val="16"/>
      <w:szCs w:val="16"/>
      <w:lang w:val="ro-RO"/>
    </w:rPr>
  </w:style>
  <w:style w:type="character" w:customStyle="1" w:styleId="18">
    <w:name w:val="Верхний колонтитул Знак"/>
    <w:basedOn w:val="4"/>
    <w:link w:val="9"/>
    <w:qFormat/>
    <w:uiPriority w:val="99"/>
    <w:rPr>
      <w:rFonts w:ascii="Cambria" w:hAnsi="Cambria" w:eastAsia="Cambria" w:cs="Cambria"/>
      <w:lang w:val="ro-RO"/>
    </w:rPr>
  </w:style>
  <w:style w:type="character" w:customStyle="1" w:styleId="19">
    <w:name w:val="Нижний колонтитул Знак"/>
    <w:basedOn w:val="4"/>
    <w:link w:val="12"/>
    <w:qFormat/>
    <w:uiPriority w:val="99"/>
    <w:rPr>
      <w:rFonts w:ascii="Cambria" w:hAnsi="Cambria" w:eastAsia="Cambria" w:cs="Cambria"/>
      <w:lang w:val="ro-RO"/>
    </w:rPr>
  </w:style>
  <w:style w:type="character" w:customStyle="1" w:styleId="20">
    <w:name w:val="Заголовок 1 Знак"/>
    <w:basedOn w:val="4"/>
    <w:link w:val="2"/>
    <w:qFormat/>
    <w:uiPriority w:val="1"/>
    <w:rPr>
      <w:rFonts w:ascii="Cambria" w:hAnsi="Cambria" w:eastAsia="Cambria" w:cs="Cambria"/>
      <w:b/>
      <w:bCs/>
      <w:sz w:val="24"/>
      <w:szCs w:val="24"/>
      <w:lang w:val="ro-RO"/>
    </w:rPr>
  </w:style>
  <w:style w:type="character" w:customStyle="1" w:styleId="21">
    <w:name w:val="Заголовок 3 Знак"/>
    <w:basedOn w:val="4"/>
    <w:link w:val="3"/>
    <w:semiHidden/>
    <w:qFormat/>
    <w:uiPriority w:val="9"/>
    <w:rPr>
      <w:rFonts w:asciiTheme="majorHAnsi" w:hAnsiTheme="majorHAnsi" w:eastAsiaTheme="majorEastAsia" w:cstheme="majorBidi"/>
      <w:color w:val="254061" w:themeColor="accent1" w:themeShade="80"/>
      <w:sz w:val="24"/>
      <w:szCs w:val="24"/>
      <w:lang w:val="ro-RO"/>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525E3A-1CE3-43B4-AA16-CF2B48531E09}">
  <ds:schemaRefs/>
</ds:datastoreItem>
</file>

<file path=docProps/app.xml><?xml version="1.0" encoding="utf-8"?>
<Properties xmlns="http://schemas.openxmlformats.org/officeDocument/2006/extended-properties" xmlns:vt="http://schemas.openxmlformats.org/officeDocument/2006/docPropsVTypes">
  <Template>Normal</Template>
  <Company>SPecialiST RePack</Company>
  <Pages>10</Pages>
  <Words>3597</Words>
  <Characters>24460</Characters>
  <Lines>201</Lines>
  <Paragraphs>56</Paragraphs>
  <TotalTime>1</TotalTime>
  <ScaleCrop>false</ScaleCrop>
  <LinksUpToDate>false</LinksUpToDate>
  <CharactersWithSpaces>27881</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2026-09-08T10:30:00Z</dcterms:created>
  <dc:creator>Admin</dc:creator>
  <cp:lastModifiedBy>Iulian Erimei</cp:lastModifiedBy>
  <cp:lastPrinted>2026-09-08T11:23:25Z</cp:lastPrinted>
  <dcterms:modified xsi:type="dcterms:W3CDTF">2026-09-08T11:24:36Z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2026-07-16T00:00:00Z</vt:filetime>
  </property>
  <property fmtid="{D5CDD505-2E9C-101B-9397-08002B2CF9AE}" pid="4" name="LastSaved">
    <vt:filetime>2026-07-16T00:00:00Z</vt:filetime>
  </property>
  <property fmtid="{D5CDD505-2E9C-101B-9397-08002B2CF9AE}" pid="5" name="Producer">
    <vt:lpwstr>mPDF 8.0.5</vt:lpwstr>
  </property>
  <property fmtid="{D5CDD505-2E9C-101B-9397-08002B2CF9AE}" pid="6" name="KSOProductBuildVer">
    <vt:lpwstr>1049-12.1.0.28485</vt:lpwstr>
  </property>
  <property fmtid="{D5CDD505-2E9C-101B-9397-08002B2CF9AE}" pid="7" name="ICV">
    <vt:lpwstr>AE154F2CC9344031BFD2C37E147A20D3_13</vt:lpwstr>
  </property>
  <property fmtid="{D5CDD505-2E9C-101B-9397-08002B2CF9AE}" pid="8" name="KSOTemplateDocerSaveRecord">
    <vt:lpwstr>eyJoZGlkIjoiMDg3NWVhZmUyZDdjOTE4MGQyOGJkYTRhZjVjZjJjMjYifQ==</vt:lpwstr>
  </property>
</Properties>
</file>