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6734"/>
        <w:gridCol w:w="1546"/>
      </w:tblGrid>
      <w:tr w14:paraId="317D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620" w:type="dxa"/>
            <w:tcBorders>
              <w:top w:val="nil"/>
              <w:left w:val="nil"/>
              <w:bottom w:val="single" w:color="auto" w:sz="4" w:space="0"/>
              <w:right w:val="nil"/>
            </w:tcBorders>
          </w:tcPr>
          <w:p w14:paraId="01312123">
            <w:pPr>
              <w:jc w:val="center"/>
              <w:rPr>
                <w:b/>
                <w:sz w:val="28"/>
                <w:lang w:val="en-US"/>
              </w:rPr>
            </w:pPr>
          </w:p>
          <w:p w14:paraId="4191C6DB">
            <w:pPr>
              <w:rPr>
                <w:sz w:val="22"/>
                <w:szCs w:val="22"/>
                <w:lang w:val="en-US"/>
              </w:rPr>
            </w:pPr>
            <w:r>
              <w:drawing>
                <wp:anchor distT="0" distB="0" distL="114300" distR="114300" simplePos="0" relativeHeight="251660288" behindDoc="0" locked="0" layoutInCell="1" allowOverlap="0">
                  <wp:simplePos x="0" y="0"/>
                  <wp:positionH relativeFrom="margin">
                    <wp:posOffset>160020</wp:posOffset>
                  </wp:positionH>
                  <wp:positionV relativeFrom="margin">
                    <wp:posOffset>228600</wp:posOffset>
                  </wp:positionV>
                  <wp:extent cx="569595" cy="689610"/>
                  <wp:effectExtent l="19050" t="0" r="1905" b="0"/>
                  <wp:wrapNone/>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
                          <pic:cNvPicPr>
                            <a:picLocks noChangeAspect="1" noChangeArrowheads="1"/>
                          </pic:cNvPicPr>
                        </pic:nvPicPr>
                        <pic:blipFill>
                          <a:blip r:embed="rId6" cstate="print"/>
                          <a:srcRect/>
                          <a:stretch>
                            <a:fillRect/>
                          </a:stretch>
                        </pic:blipFill>
                        <pic:spPr>
                          <a:xfrm>
                            <a:off x="0" y="0"/>
                            <a:ext cx="569595" cy="689610"/>
                          </a:xfrm>
                          <a:prstGeom prst="rect">
                            <a:avLst/>
                          </a:prstGeom>
                          <a:noFill/>
                          <a:ln w="9525">
                            <a:noFill/>
                            <a:miter lim="800000"/>
                            <a:headEnd/>
                            <a:tailEnd/>
                          </a:ln>
                        </pic:spPr>
                      </pic:pic>
                    </a:graphicData>
                  </a:graphic>
                </wp:anchor>
              </w:drawing>
            </w:r>
          </w:p>
        </w:tc>
        <w:tc>
          <w:tcPr>
            <w:tcW w:w="6734" w:type="dxa"/>
            <w:tcBorders>
              <w:top w:val="nil"/>
              <w:left w:val="nil"/>
              <w:bottom w:val="single" w:color="auto" w:sz="4" w:space="0"/>
              <w:right w:val="nil"/>
            </w:tcBorders>
          </w:tcPr>
          <w:p w14:paraId="165DBC3A">
            <w:pPr>
              <w:pStyle w:val="2"/>
              <w:jc w:val="center"/>
              <w:rPr>
                <w:sz w:val="16"/>
                <w:szCs w:val="16"/>
              </w:rPr>
            </w:pPr>
          </w:p>
          <w:p w14:paraId="40F34FDB">
            <w:pPr>
              <w:pStyle w:val="2"/>
              <w:jc w:val="center"/>
              <w:rPr>
                <w:sz w:val="24"/>
                <w:szCs w:val="24"/>
              </w:rPr>
            </w:pPr>
            <w:r>
              <w:rPr>
                <w:sz w:val="24"/>
                <w:szCs w:val="24"/>
              </w:rPr>
              <w:t>REPUBLICA  MOLDOVA</w:t>
            </w:r>
          </w:p>
          <w:p w14:paraId="432AE7FF">
            <w:pPr>
              <w:pStyle w:val="2"/>
              <w:jc w:val="center"/>
              <w:rPr>
                <w:sz w:val="22"/>
                <w:szCs w:val="22"/>
              </w:rPr>
            </w:pPr>
          </w:p>
          <w:p w14:paraId="4817C8F1">
            <w:pPr>
              <w:pStyle w:val="2"/>
              <w:tabs>
                <w:tab w:val="left" w:pos="810"/>
                <w:tab w:val="center" w:pos="3259"/>
              </w:tabs>
              <w:rPr>
                <w:sz w:val="24"/>
                <w:szCs w:val="24"/>
                <w:lang w:val="ro-RO"/>
              </w:rPr>
            </w:pPr>
            <w:r>
              <w:tab/>
            </w:r>
            <w:r>
              <w:t xml:space="preserve">        </w:t>
            </w:r>
            <w:r>
              <w:rPr>
                <w:sz w:val="24"/>
                <w:szCs w:val="24"/>
              </w:rPr>
              <w:t>CONSILIUL  RAIONAL S</w:t>
            </w:r>
            <w:r>
              <w:rPr>
                <w:sz w:val="24"/>
                <w:szCs w:val="24"/>
                <w:lang w:val="ro-RO"/>
              </w:rPr>
              <w:t>ÎNGEREI</w:t>
            </w:r>
          </w:p>
          <w:p w14:paraId="38FA998F">
            <w:pPr>
              <w:jc w:val="center"/>
              <w:rPr>
                <w:b/>
                <w:sz w:val="22"/>
                <w:szCs w:val="22"/>
                <w:lang w:val="ro-RO"/>
              </w:rPr>
            </w:pPr>
          </w:p>
          <w:p w14:paraId="35D94D64">
            <w:pPr>
              <w:jc w:val="center"/>
              <w:rPr>
                <w:lang w:val="en-US"/>
              </w:rPr>
            </w:pPr>
            <w:r>
              <w:rPr>
                <w:b/>
                <w:lang w:val="ro-RO"/>
              </w:rPr>
              <w:t xml:space="preserve">PREŞEDINTELE RAIONULUI </w:t>
            </w:r>
          </w:p>
        </w:tc>
        <w:tc>
          <w:tcPr>
            <w:tcW w:w="1546" w:type="dxa"/>
            <w:tcBorders>
              <w:top w:val="nil"/>
              <w:left w:val="nil"/>
              <w:bottom w:val="single" w:color="auto" w:sz="4" w:space="0"/>
              <w:right w:val="nil"/>
            </w:tcBorders>
          </w:tcPr>
          <w:p w14:paraId="6F1E4B02">
            <w:pPr>
              <w:jc w:val="center"/>
              <w:rPr>
                <w:lang w:val="en-US"/>
              </w:rPr>
            </w:pPr>
            <w: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noChangeArrowheads="1"/>
                          </pic:cNvPicPr>
                        </pic:nvPicPr>
                        <pic:blipFill>
                          <a:blip r:embed="rId7"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14:paraId="75E71A1A">
            <w:pPr>
              <w:jc w:val="center"/>
              <w:rPr>
                <w:b/>
                <w:sz w:val="18"/>
                <w:szCs w:val="18"/>
                <w:lang w:val="en-US"/>
              </w:rPr>
            </w:pPr>
            <w:r>
              <w:rPr>
                <w:b/>
                <w:sz w:val="20"/>
                <w:szCs w:val="20"/>
              </w:rPr>
              <w:drawing>
                <wp:inline distT="0" distB="0" distL="0" distR="0">
                  <wp:extent cx="495300" cy="6286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rcRect/>
                          <a:stretch>
                            <a:fillRect/>
                          </a:stretch>
                        </pic:blipFill>
                        <pic:spPr>
                          <a:xfrm>
                            <a:off x="0" y="0"/>
                            <a:ext cx="495300" cy="628650"/>
                          </a:xfrm>
                          <a:prstGeom prst="rect">
                            <a:avLst/>
                          </a:prstGeom>
                          <a:noFill/>
                          <a:ln w="9525">
                            <a:noFill/>
                            <a:miter lim="800000"/>
                            <a:headEnd/>
                            <a:tailEnd/>
                          </a:ln>
                        </pic:spPr>
                      </pic:pic>
                    </a:graphicData>
                  </a:graphic>
                </wp:inline>
              </w:drawing>
            </w:r>
          </w:p>
          <w:p w14:paraId="2F61B4E8">
            <w:pPr>
              <w:rPr>
                <w:sz w:val="18"/>
                <w:szCs w:val="18"/>
                <w:lang w:val="en-US"/>
              </w:rPr>
            </w:pPr>
          </w:p>
          <w:p w14:paraId="00CBC431">
            <w:pPr>
              <w:jc w:val="right"/>
              <w:rPr>
                <w:sz w:val="18"/>
                <w:szCs w:val="18"/>
                <w:lang w:val="en-US"/>
              </w:rPr>
            </w:pPr>
          </w:p>
        </w:tc>
      </w:tr>
      <w:tr w14:paraId="166C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9900" w:type="dxa"/>
            <w:gridSpan w:val="3"/>
            <w:tcBorders>
              <w:top w:val="single" w:color="auto" w:sz="4" w:space="0"/>
              <w:left w:val="nil"/>
              <w:bottom w:val="thinThickSmallGap" w:color="auto" w:sz="24" w:space="0"/>
              <w:right w:val="nil"/>
            </w:tcBorders>
          </w:tcPr>
          <w:p w14:paraId="68719DA5">
            <w:pPr>
              <w:rPr>
                <w:b/>
                <w:sz w:val="22"/>
                <w:szCs w:val="22"/>
                <w:lang w:val="ro-RO"/>
              </w:rPr>
            </w:pPr>
            <w:r>
              <w:rPr>
                <w:b/>
                <w:bCs/>
                <w:color w:val="000000"/>
                <w:lang w:val="en-US"/>
              </w:rPr>
              <w:t>I.P. Gimnaziul „Iurie Boghiu,, din s. Flămînzeni</w:t>
            </w:r>
          </w:p>
        </w:tc>
      </w:tr>
    </w:tbl>
    <w:p w14:paraId="2FCA8610">
      <w:pPr>
        <w:rPr>
          <w:b/>
          <w:sz w:val="16"/>
          <w:szCs w:val="16"/>
          <w:lang w:val="en-US"/>
        </w:rPr>
      </w:pPr>
    </w:p>
    <w:p w14:paraId="7A5F0C63">
      <w:pPr>
        <w:rPr>
          <w:b/>
          <w:sz w:val="22"/>
          <w:szCs w:val="22"/>
          <w:lang w:val="en-US"/>
        </w:rPr>
      </w:pPr>
      <w:r>
        <w:rPr>
          <w:b/>
          <w:sz w:val="22"/>
          <w:szCs w:val="22"/>
          <w:lang w:val="en-US"/>
        </w:rPr>
        <w:t>Nr. ___________________</w:t>
      </w:r>
    </w:p>
    <w:p w14:paraId="1E3B7AE3">
      <w:pPr>
        <w:rPr>
          <w:b/>
          <w:sz w:val="22"/>
          <w:szCs w:val="22"/>
          <w:lang w:val="en-US"/>
        </w:rPr>
      </w:pPr>
      <w:r>
        <w:rPr>
          <w:b/>
          <w:sz w:val="22"/>
          <w:szCs w:val="22"/>
          <w:lang w:val="en-US"/>
        </w:rPr>
        <w:t>din _______________ 2026</w:t>
      </w:r>
    </w:p>
    <w:p w14:paraId="70211DE9">
      <w:pPr>
        <w:tabs>
          <w:tab w:val="left" w:pos="6495"/>
        </w:tabs>
        <w:rPr>
          <w:sz w:val="16"/>
          <w:szCs w:val="16"/>
          <w:lang w:val="ro-RO"/>
        </w:rPr>
      </w:pPr>
      <w:r>
        <w:rPr>
          <w:sz w:val="16"/>
          <w:szCs w:val="16"/>
          <w:lang w:val="ro-RO"/>
        </w:rPr>
        <w:tab/>
      </w:r>
      <w:r>
        <w:rPr>
          <w:sz w:val="16"/>
          <w:szCs w:val="16"/>
          <w:lang w:val="ro-RO"/>
        </w:rPr>
        <w:t xml:space="preserve">      </w:t>
      </w:r>
      <w:r>
        <w:rPr>
          <w:lang w:val="ro-RO"/>
        </w:rPr>
        <w:t xml:space="preserve">De acord şi dispun elaborarea  </w:t>
      </w:r>
    </w:p>
    <w:p w14:paraId="78D3F075">
      <w:pPr>
        <w:rPr>
          <w:lang w:val="ro-RO"/>
        </w:rPr>
      </w:pPr>
      <w:r>
        <w:rPr>
          <w:b/>
          <w:lang w:val="ro-RO"/>
        </w:rPr>
        <w:t>SECRETARĂ INTERIMARĂ</w:t>
      </w:r>
      <w:r>
        <w:rPr>
          <w:lang w:val="ro-RO"/>
        </w:rPr>
        <w:tab/>
      </w:r>
      <w:r>
        <w:rPr>
          <w:lang w:val="ro-RO"/>
        </w:rPr>
        <w:t xml:space="preserve">                                                                  proiectului de decizie</w:t>
      </w:r>
    </w:p>
    <w:p w14:paraId="2834EC40">
      <w:pPr>
        <w:rPr>
          <w:b/>
          <w:lang w:val="ro-RO"/>
        </w:rPr>
      </w:pPr>
      <w:r>
        <w:rPr>
          <w:lang w:val="ro-RO"/>
        </w:rPr>
        <w:t xml:space="preserve">a Consiliului raional  </w:t>
      </w:r>
      <w:r>
        <w:rPr>
          <w:b/>
          <w:lang w:val="ro-RO"/>
        </w:rPr>
        <w:t xml:space="preserve"> </w:t>
      </w:r>
      <w:r>
        <w:rPr>
          <w:lang w:val="ro-RO"/>
        </w:rPr>
        <w:t xml:space="preserve">                                                                                                   </w:t>
      </w:r>
      <w:r>
        <w:rPr>
          <w:b/>
          <w:lang w:val="ro-RO"/>
        </w:rPr>
        <w:t>PREȘEDINTE</w:t>
      </w:r>
    </w:p>
    <w:p w14:paraId="127C0768">
      <w:pPr>
        <w:rPr>
          <w:b/>
          <w:lang w:val="ro-RO"/>
        </w:rPr>
      </w:pPr>
      <w:r>
        <w:rPr>
          <w:b/>
          <w:lang w:val="ro-RO"/>
        </w:rPr>
        <w:t>Angela Mihaliuc</w:t>
      </w:r>
      <w:r>
        <w:rPr>
          <w:b/>
          <w:lang w:val="ro-RO"/>
        </w:rPr>
        <w:tab/>
      </w:r>
      <w:r>
        <w:rPr>
          <w:lang w:val="ro-RO"/>
        </w:rPr>
        <w:tab/>
      </w:r>
      <w:r>
        <w:rPr>
          <w:lang w:val="ro-RO"/>
        </w:rPr>
        <w:tab/>
      </w:r>
      <w:r>
        <w:rPr>
          <w:lang w:val="ro-RO"/>
        </w:rPr>
        <w:t xml:space="preserve">                                                               </w:t>
      </w:r>
      <w:r>
        <w:rPr>
          <w:b/>
          <w:lang w:val="ro-RO"/>
        </w:rPr>
        <w:t>Cristian CAINARIAN</w:t>
      </w:r>
    </w:p>
    <w:p w14:paraId="37DC1DDF">
      <w:pPr>
        <w:rPr>
          <w:lang w:val="ro-RO"/>
        </w:rPr>
      </w:pPr>
      <w:r>
        <w:rPr>
          <w:b/>
          <w:lang w:val="ro-RO"/>
        </w:rPr>
        <w:t>____________________                                                                          _______________________</w:t>
      </w:r>
    </w:p>
    <w:p w14:paraId="38C70956">
      <w:pPr>
        <w:jc w:val="center"/>
        <w:rPr>
          <w:b/>
          <w:sz w:val="16"/>
          <w:szCs w:val="16"/>
          <w:lang w:val="ro-RO"/>
        </w:rPr>
      </w:pPr>
    </w:p>
    <w:p w14:paraId="5A486C20">
      <w:pPr>
        <w:tabs>
          <w:tab w:val="left" w:pos="3555"/>
          <w:tab w:val="center" w:pos="4969"/>
        </w:tabs>
        <w:jc w:val="center"/>
        <w:rPr>
          <w:b/>
          <w:color w:val="000000" w:themeColor="text1"/>
          <w:lang w:val="ro-RO"/>
          <w14:textFill>
            <w14:solidFill>
              <w14:schemeClr w14:val="tx1"/>
            </w14:solidFill>
          </w14:textFill>
        </w:rPr>
      </w:pPr>
    </w:p>
    <w:p w14:paraId="18FD9AB7">
      <w:pPr>
        <w:tabs>
          <w:tab w:val="left" w:pos="3555"/>
          <w:tab w:val="center" w:pos="4969"/>
        </w:tabs>
        <w:jc w:val="center"/>
        <w:rPr>
          <w:b/>
          <w:color w:val="000000" w:themeColor="text1"/>
          <w:lang w:val="ro-RO"/>
          <w14:textFill>
            <w14:solidFill>
              <w14:schemeClr w14:val="tx1"/>
            </w14:solidFill>
          </w14:textFill>
        </w:rPr>
      </w:pPr>
      <w:r>
        <w:rPr>
          <w:b/>
          <w:color w:val="000000" w:themeColor="text1"/>
          <w:lang w:val="ro-RO"/>
          <w14:textFill>
            <w14:solidFill>
              <w14:schemeClr w14:val="tx1"/>
            </w14:solidFill>
          </w14:textFill>
        </w:rPr>
        <w:t>NOTĂ DE FUNDAMENTARE</w:t>
      </w:r>
    </w:p>
    <w:p w14:paraId="5986EC45">
      <w:pPr>
        <w:tabs>
          <w:tab w:val="left" w:pos="7094"/>
        </w:tabs>
        <w:jc w:val="center"/>
        <w:rPr>
          <w:b/>
          <w:bCs/>
          <w:color w:val="000000"/>
          <w:lang w:val="en-US"/>
        </w:rPr>
      </w:pPr>
      <w:r>
        <w:rPr>
          <w:b/>
          <w:bCs/>
          <w:color w:val="000000"/>
          <w:lang w:val="en-US"/>
        </w:rPr>
        <w:t>Privind  autorizarea casării bunurilor uzate raportate la mijloace fixe, aflate în gestiunea</w:t>
      </w:r>
    </w:p>
    <w:p w14:paraId="798CEE17">
      <w:pPr>
        <w:tabs>
          <w:tab w:val="left" w:pos="7094"/>
        </w:tabs>
        <w:jc w:val="center"/>
        <w:rPr>
          <w:b/>
          <w:bCs/>
          <w:color w:val="000000"/>
          <w:lang w:val="en-US"/>
        </w:rPr>
      </w:pPr>
      <w:r>
        <w:rPr>
          <w:b/>
          <w:bCs/>
          <w:color w:val="000000"/>
          <w:lang w:val="en-US"/>
        </w:rPr>
        <w:t xml:space="preserve">  I.P. Gimnaziul „Iurie Boghiu,, din s. Flămînzeni, r-nul Sîngerei</w:t>
      </w:r>
    </w:p>
    <w:p w14:paraId="42A2C536">
      <w:pPr>
        <w:tabs>
          <w:tab w:val="left" w:pos="7094"/>
        </w:tabs>
        <w:jc w:val="center"/>
        <w:rPr>
          <w:b/>
          <w:color w:val="000000" w:themeColor="text1"/>
          <w:lang w:val="ro-RO"/>
          <w14:textFill>
            <w14:solidFill>
              <w14:schemeClr w14:val="tx1"/>
            </w14:solidFill>
          </w14:textFill>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7"/>
      </w:tblGrid>
      <w:tr w14:paraId="729B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3D20EA7D">
            <w:pPr>
              <w:tabs>
                <w:tab w:val="left" w:pos="284"/>
                <w:tab w:val="left" w:pos="1196"/>
              </w:tabs>
              <w:jc w:val="both"/>
              <w:rPr>
                <w:b/>
                <w:color w:val="000000" w:themeColor="text1"/>
                <w:lang w:val="en-US" w:eastAsia="en-US"/>
                <w14:textFill>
                  <w14:solidFill>
                    <w14:schemeClr w14:val="tx1"/>
                  </w14:solidFill>
                </w14:textFill>
              </w:rPr>
            </w:pPr>
            <w:r>
              <w:rPr>
                <w:b/>
                <w:color w:val="000000" w:themeColor="text1"/>
                <w:lang w:val="it-IT"/>
                <w14:textFill>
                  <w14:solidFill>
                    <w14:schemeClr w14:val="tx1"/>
                  </w14:solidFill>
                </w14:textFill>
              </w:rPr>
              <w:t xml:space="preserve">1.  </w:t>
            </w:r>
            <w:r>
              <w:rPr>
                <w:b/>
                <w:color w:val="000000" w:themeColor="text1"/>
                <w:lang w:val="en-US"/>
                <w14:textFill>
                  <w14:solidFill>
                    <w14:schemeClr w14:val="tx1"/>
                  </w14:solidFill>
                </w14:textFill>
              </w:rPr>
              <w:t>Denumirea sau numele autorului şi, după caz, a/al participanţilor la elaborarea proiectului actului normativ</w:t>
            </w:r>
          </w:p>
        </w:tc>
      </w:tr>
      <w:tr w14:paraId="3933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000" w:type="pct"/>
            <w:tcBorders>
              <w:top w:val="single" w:color="auto" w:sz="4" w:space="0"/>
              <w:left w:val="single" w:color="auto" w:sz="4" w:space="0"/>
              <w:bottom w:val="single" w:color="auto" w:sz="4" w:space="0"/>
              <w:right w:val="single" w:color="auto" w:sz="4" w:space="0"/>
            </w:tcBorders>
          </w:tcPr>
          <w:p w14:paraId="0E373E75">
            <w:pPr>
              <w:tabs>
                <w:tab w:val="left" w:pos="7094"/>
              </w:tabs>
              <w:jc w:val="both"/>
              <w:rPr>
                <w:bCs/>
                <w:color w:val="000000"/>
                <w:lang w:val="en-US"/>
              </w:rPr>
            </w:pPr>
            <w:r>
              <w:rPr>
                <w:color w:val="000000" w:themeColor="text1"/>
                <w:lang w:val="en-US"/>
                <w14:textFill>
                  <w14:solidFill>
                    <w14:schemeClr w14:val="tx1"/>
                  </w14:solidFill>
                </w14:textFill>
              </w:rPr>
              <w:t xml:space="preserve"> </w:t>
            </w:r>
            <w:r>
              <w:rPr>
                <w:color w:val="000000" w:themeColor="text1"/>
                <w:lang w:val="ro-RO"/>
                <w14:textFill>
                  <w14:solidFill>
                    <w14:schemeClr w14:val="tx1"/>
                  </w14:solidFill>
                </w14:textFill>
              </w:rPr>
              <w:t>Proiect</w:t>
            </w:r>
            <w:r>
              <w:rPr>
                <w:color w:val="000000" w:themeColor="text1"/>
                <w:lang w:val="en-US"/>
                <w14:textFill>
                  <w14:solidFill>
                    <w14:schemeClr w14:val="tx1"/>
                  </w14:solidFill>
                </w14:textFill>
              </w:rPr>
              <w:t xml:space="preserve">ul deciziei este elaborat de către </w:t>
            </w:r>
            <w:r>
              <w:rPr>
                <w:bCs/>
                <w:color w:val="000000"/>
                <w:lang w:val="en-US"/>
              </w:rPr>
              <w:t xml:space="preserve">I.P. Gimnaziul „Iurie Boghiu,, din s. Flămînzeni , </w:t>
            </w:r>
          </w:p>
          <w:p w14:paraId="49EEC4A6">
            <w:pPr>
              <w:tabs>
                <w:tab w:val="left" w:pos="7094"/>
              </w:tabs>
              <w:jc w:val="both"/>
              <w:rPr>
                <w:color w:val="000000" w:themeColor="text1"/>
                <w:lang w:val="ro-RO"/>
                <w14:textFill>
                  <w14:solidFill>
                    <w14:schemeClr w14:val="tx1"/>
                  </w14:solidFill>
                </w14:textFill>
              </w:rPr>
            </w:pPr>
            <w:r>
              <w:rPr>
                <w:bCs/>
                <w:color w:val="000000"/>
                <w:lang w:val="en-US"/>
              </w:rPr>
              <w:t>rl. Sîngerei</w:t>
            </w:r>
          </w:p>
        </w:tc>
      </w:tr>
      <w:tr w14:paraId="76F9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04EC132B">
            <w:pPr>
              <w:tabs>
                <w:tab w:val="left" w:pos="884"/>
                <w:tab w:val="left" w:pos="1196"/>
              </w:tabs>
              <w:spacing w:line="276" w:lineRule="auto"/>
              <w:jc w:val="both"/>
              <w:rPr>
                <w:b/>
                <w:color w:val="000000" w:themeColor="text1"/>
                <w:lang w:val="en-US" w:eastAsia="en-US"/>
                <w14:textFill>
                  <w14:solidFill>
                    <w14:schemeClr w14:val="tx1"/>
                  </w14:solidFill>
                </w14:textFill>
              </w:rPr>
            </w:pPr>
            <w:r>
              <w:rPr>
                <w:b/>
                <w:color w:val="000000" w:themeColor="text1"/>
                <w:lang w:val="en-US"/>
                <w14:textFill>
                  <w14:solidFill>
                    <w14:schemeClr w14:val="tx1"/>
                  </w14:solidFill>
                </w14:textFill>
              </w:rPr>
              <w:t>2. Condiţiile ce au impus elaborarea proiectului actului normativ</w:t>
            </w:r>
          </w:p>
        </w:tc>
      </w:tr>
      <w:tr w14:paraId="15AA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trPr>
        <w:tc>
          <w:tcPr>
            <w:tcW w:w="5000" w:type="pct"/>
            <w:tcBorders>
              <w:top w:val="single" w:color="auto" w:sz="4" w:space="0"/>
              <w:left w:val="single" w:color="auto" w:sz="4" w:space="0"/>
              <w:bottom w:val="single" w:color="auto" w:sz="4" w:space="0"/>
              <w:right w:val="single" w:color="auto" w:sz="4" w:space="0"/>
            </w:tcBorders>
          </w:tcPr>
          <w:p w14:paraId="6C075F53">
            <w:pPr>
              <w:spacing w:before="100" w:beforeAutospacing="1" w:after="100" w:afterAutospacing="1"/>
              <w:jc w:val="both"/>
              <w:rPr>
                <w:color w:val="000000" w:themeColor="text1"/>
                <w:lang w:val="ro-RO"/>
                <w14:textFill>
                  <w14:solidFill>
                    <w14:schemeClr w14:val="tx1"/>
                  </w14:solidFill>
                </w14:textFill>
              </w:rPr>
            </w:pPr>
            <w:r>
              <w:rPr>
                <w:color w:val="000000" w:themeColor="text1"/>
                <w:lang w:val="ro-RO"/>
                <w14:textFill>
                  <w14:solidFill>
                    <w14:schemeClr w14:val="tx1"/>
                  </w14:solidFill>
                </w14:textFill>
              </w:rPr>
              <w:t xml:space="preserve">      Proiectul deciziei este elaborat în temeiul prevederilor </w:t>
            </w:r>
            <w:r>
              <w:rPr>
                <w:color w:val="000000" w:themeColor="text1"/>
                <w:lang w:val="en-US" w:eastAsia="en-US"/>
                <w14:textFill>
                  <w14:solidFill>
                    <w14:schemeClr w14:val="tx1"/>
                  </w14:solidFill>
                </w14:textFill>
              </w:rPr>
              <w:t xml:space="preserve">art. 43 alin.(1) lit. c) al Legii privind administraţia publică locală nr. 436/2006, Legea cu privire la actele normative nr. 100/2017, Hotărârea Guvernului nr. 500/1998 despre aprobarea Regulamentului privind casarea bunurilor uzate, raportate la mijloacele fixe, Actele de diagnosticare eliberate de SRL „Net-Curier” din or. Sîngerei din 07 și 09.09.2026, Ordinul </w:t>
            </w:r>
            <w:r>
              <w:rPr>
                <w:bCs/>
                <w:color w:val="000000"/>
                <w:lang w:val="en-US"/>
              </w:rPr>
              <w:t>I.P. Gimnaziul „Iurie Boghiu,, din s. Flămînzeni</w:t>
            </w:r>
            <w:r>
              <w:rPr>
                <w:color w:val="000000"/>
                <w:lang w:val="en-US"/>
              </w:rPr>
              <w:t xml:space="preserve"> r. Sîngerei nr. 16 din 01.09.2026 despre constituirea comisiei de recepție, inventariere și casare, precum și în baza </w:t>
            </w:r>
            <w:r>
              <w:rPr>
                <w:color w:val="000000" w:themeColor="text1"/>
                <w:lang w:val="en-US" w:eastAsia="en-US"/>
                <w14:textFill>
                  <w14:solidFill>
                    <w14:schemeClr w14:val="tx1"/>
                  </w14:solidFill>
                </w14:textFill>
              </w:rPr>
              <w:t>Demersului nr. 83 din 11.09.2026.</w:t>
            </w:r>
          </w:p>
        </w:tc>
      </w:tr>
      <w:tr w14:paraId="116B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3ECE0096">
            <w:pPr>
              <w:tabs>
                <w:tab w:val="left" w:pos="884"/>
                <w:tab w:val="left" w:pos="1196"/>
              </w:tabs>
              <w:spacing w:line="276" w:lineRule="auto"/>
              <w:jc w:val="both"/>
              <w:rPr>
                <w:b/>
                <w:color w:val="000000" w:themeColor="text1"/>
                <w:lang w:val="en-US" w:eastAsia="en-US"/>
                <w14:textFill>
                  <w14:solidFill>
                    <w14:schemeClr w14:val="tx1"/>
                  </w14:solidFill>
                </w14:textFill>
              </w:rPr>
            </w:pPr>
            <w:r>
              <w:rPr>
                <w:b/>
                <w:color w:val="000000" w:themeColor="text1"/>
                <w:lang w:val="en-US"/>
                <w14:textFill>
                  <w14:solidFill>
                    <w14:schemeClr w14:val="tx1"/>
                  </w14:solidFill>
                </w14:textFill>
              </w:rPr>
              <w:t>3. Obiectivele urmărite și soluțiile propuse</w:t>
            </w:r>
          </w:p>
        </w:tc>
      </w:tr>
      <w:tr w14:paraId="2B16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5000" w:type="pct"/>
            <w:tcBorders>
              <w:top w:val="single" w:color="auto" w:sz="4" w:space="0"/>
              <w:left w:val="single" w:color="auto" w:sz="4" w:space="0"/>
              <w:bottom w:val="single" w:color="auto" w:sz="4" w:space="0"/>
              <w:right w:val="single" w:color="auto" w:sz="4" w:space="0"/>
            </w:tcBorders>
          </w:tcPr>
          <w:p w14:paraId="067E2169">
            <w:pPr>
              <w:tabs>
                <w:tab w:val="left" w:pos="1110"/>
                <w:tab w:val="center" w:pos="4860"/>
              </w:tabs>
              <w:jc w:val="both"/>
              <w:rPr>
                <w:color w:val="000000" w:themeColor="text1"/>
                <w:lang w:val="en-US"/>
                <w14:textFill>
                  <w14:solidFill>
                    <w14:schemeClr w14:val="tx1"/>
                  </w14:solidFill>
                </w14:textFill>
              </w:rPr>
            </w:pPr>
            <w:r>
              <w:rPr>
                <w:color w:val="000000" w:themeColor="text1"/>
                <w:lang w:val="ro-RO"/>
                <w14:textFill>
                  <w14:solidFill>
                    <w14:schemeClr w14:val="tx1"/>
                  </w14:solidFill>
                </w14:textFill>
              </w:rPr>
              <w:t xml:space="preserve">     </w:t>
            </w:r>
            <w:r>
              <w:rPr>
                <w:color w:val="000000" w:themeColor="text1"/>
                <w:lang w:val="en-US"/>
                <w14:textFill>
                  <w14:solidFill>
                    <w14:schemeClr w14:val="tx1"/>
                  </w14:solidFill>
                </w14:textFill>
              </w:rPr>
              <w:t xml:space="preserve">Conform ordinului nr. 16 din 01.09.2026 al directorului </w:t>
            </w:r>
            <w:r>
              <w:rPr>
                <w:color w:val="000000"/>
                <w:lang w:val="en-US"/>
              </w:rPr>
              <w:t xml:space="preserve">Gimnaziul </w:t>
            </w:r>
            <w:r>
              <w:rPr>
                <w:bCs/>
                <w:color w:val="000000"/>
                <w:lang w:val="en-US"/>
              </w:rPr>
              <w:t xml:space="preserve">„Iurie Boghiu,, din s. Flămînzeni </w:t>
            </w:r>
            <w:r>
              <w:rPr>
                <w:color w:val="000000" w:themeColor="text1"/>
                <w:lang w:val="en-US"/>
                <w14:textFill>
                  <w14:solidFill>
                    <w14:schemeClr w14:val="tx1"/>
                  </w14:solidFill>
                </w14:textFill>
              </w:rPr>
              <w:t xml:space="preserve">s-a constituit comisia de recepție, inventariere și casare. În urma verificărilor mijloacelor fixe s-au depistat bunuri care au un grad de uzură de 100% și nu pot fi utilizate conform </w:t>
            </w:r>
          </w:p>
          <w:p w14:paraId="669616E7">
            <w:pPr>
              <w:tabs>
                <w:tab w:val="left" w:pos="1110"/>
                <w:tab w:val="center" w:pos="4860"/>
              </w:tabs>
              <w:jc w:val="both"/>
              <w:rPr>
                <w:color w:val="000000" w:themeColor="text1"/>
                <w:lang w:val="it-IT"/>
                <w14:textFill>
                  <w14:solidFill>
                    <w14:schemeClr w14:val="tx1"/>
                  </w14:solidFill>
                </w14:textFill>
              </w:rPr>
            </w:pPr>
            <w:r>
              <w:rPr>
                <w:color w:val="000000" w:themeColor="text1"/>
                <w:lang w:val="en-US" w:eastAsia="en-US"/>
                <w14:textFill>
                  <w14:solidFill>
                    <w14:schemeClr w14:val="tx1"/>
                  </w14:solidFill>
                </w14:textFill>
              </w:rPr>
              <w:t>actelor de diagnosticare eliberate de SRL „Net-Curier” din or. Sîngerei.</w:t>
            </w:r>
          </w:p>
        </w:tc>
      </w:tr>
      <w:tr w14:paraId="66AF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5000" w:type="pct"/>
            <w:tcBorders>
              <w:top w:val="single" w:color="auto" w:sz="4" w:space="0"/>
              <w:left w:val="single" w:color="auto" w:sz="4" w:space="0"/>
              <w:bottom w:val="single" w:color="auto" w:sz="4" w:space="0"/>
              <w:right w:val="single" w:color="auto" w:sz="4" w:space="0"/>
            </w:tcBorders>
          </w:tcPr>
          <w:p w14:paraId="3AD2C3DE">
            <w:pPr>
              <w:spacing w:before="100" w:beforeAutospacing="1" w:after="100" w:afterAutospacing="1"/>
              <w:jc w:val="both"/>
              <w:rPr>
                <w:b/>
                <w:color w:val="000000" w:themeColor="text1"/>
                <w:lang w:val="ro-RO"/>
                <w14:textFill>
                  <w14:solidFill>
                    <w14:schemeClr w14:val="tx1"/>
                  </w14:solidFill>
                </w14:textFill>
              </w:rPr>
            </w:pPr>
            <w:r>
              <w:rPr>
                <w:b/>
                <w:color w:val="000000" w:themeColor="text1"/>
                <w:lang w:val="en-US"/>
                <w14:textFill>
                  <w14:solidFill>
                    <w14:schemeClr w14:val="tx1"/>
                  </w14:solidFill>
                </w14:textFill>
              </w:rPr>
              <w:t xml:space="preserve">4. </w:t>
            </w:r>
            <w:r>
              <w:rPr>
                <w:b/>
                <w:color w:val="000000" w:themeColor="text1"/>
                <w:lang w:val="ro-RO"/>
                <w14:textFill>
                  <w14:solidFill>
                    <w14:schemeClr w14:val="tx1"/>
                  </w14:solidFill>
                </w14:textFill>
              </w:rPr>
              <w:t>Analiza impactului de reglementare</w:t>
            </w:r>
          </w:p>
        </w:tc>
      </w:tr>
      <w:tr w14:paraId="01DC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single" w:color="auto" w:sz="4" w:space="0"/>
              <w:left w:val="single" w:color="auto" w:sz="4" w:space="0"/>
              <w:bottom w:val="single" w:color="auto" w:sz="4" w:space="0"/>
              <w:right w:val="single" w:color="auto" w:sz="4" w:space="0"/>
            </w:tcBorders>
          </w:tcPr>
          <w:p w14:paraId="774F63F2">
            <w:pPr>
              <w:jc w:val="both"/>
              <w:rPr>
                <w:rFonts w:ascii="Calibri" w:hAnsi="Calibri" w:eastAsia="Calibri"/>
                <w:color w:val="000000" w:themeColor="text1"/>
                <w:lang w:val="en-US" w:eastAsia="en-US"/>
                <w14:textFill>
                  <w14:solidFill>
                    <w14:schemeClr w14:val="tx1"/>
                  </w14:solidFill>
                </w14:textFill>
              </w:rPr>
            </w:pPr>
            <w:r>
              <w:rPr>
                <w:color w:val="000000" w:themeColor="text1"/>
                <w:lang w:val="en-US" w:eastAsia="en-US"/>
                <w14:textFill>
                  <w14:solidFill>
                    <w14:schemeClr w14:val="tx1"/>
                  </w14:solidFill>
                </w14:textFill>
              </w:rPr>
              <w:t xml:space="preserve">  Proiectul de decizie nu înregistrează careva impacturi, costuri și respectiv nu necesită alocarea mijloacelor financiare suplimentare din bugetul raional.</w:t>
            </w:r>
          </w:p>
        </w:tc>
      </w:tr>
      <w:tr w14:paraId="00A6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5000" w:type="pct"/>
            <w:tcBorders>
              <w:top w:val="single" w:color="auto" w:sz="4" w:space="0"/>
              <w:left w:val="single" w:color="auto" w:sz="4" w:space="0"/>
              <w:bottom w:val="single" w:color="auto" w:sz="4" w:space="0"/>
              <w:right w:val="single" w:color="auto" w:sz="4" w:space="0"/>
            </w:tcBorders>
          </w:tcPr>
          <w:p w14:paraId="64E24DA5">
            <w:pPr>
              <w:rPr>
                <w:color w:val="000000" w:themeColor="text1"/>
                <w:lang w:val="en-US" w:eastAsia="en-US"/>
                <w14:textFill>
                  <w14:solidFill>
                    <w14:schemeClr w14:val="tx1"/>
                  </w14:solidFill>
                </w14:textFill>
              </w:rPr>
            </w:pPr>
            <w:r>
              <w:rPr>
                <w:rFonts w:eastAsia="Calibri"/>
                <w:b/>
                <w:color w:val="000000" w:themeColor="text1"/>
                <w:lang w:val="en-US" w:eastAsia="en-US"/>
                <w14:textFill>
                  <w14:solidFill>
                    <w14:schemeClr w14:val="tx1"/>
                  </w14:solidFill>
                </w14:textFill>
              </w:rPr>
              <w:t xml:space="preserve">5. Compatibilitatea proiectului actului normative cu legislația UE - </w:t>
            </w:r>
            <w:r>
              <w:rPr>
                <w:rFonts w:eastAsia="Calibri"/>
                <w:color w:val="000000" w:themeColor="text1"/>
                <w:lang w:val="ro-RO" w:eastAsia="en-US"/>
                <w14:textFill>
                  <w14:solidFill>
                    <w14:schemeClr w14:val="tx1"/>
                  </w14:solidFill>
                </w14:textFill>
              </w:rPr>
              <w:t>„Nu este aplicabil”.</w:t>
            </w:r>
          </w:p>
        </w:tc>
      </w:tr>
      <w:tr w14:paraId="4096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5000" w:type="pct"/>
            <w:tcBorders>
              <w:top w:val="single" w:color="auto" w:sz="4" w:space="0"/>
              <w:left w:val="single" w:color="auto" w:sz="4" w:space="0"/>
              <w:bottom w:val="single" w:color="auto" w:sz="4" w:space="0"/>
              <w:right w:val="single" w:color="auto" w:sz="4" w:space="0"/>
            </w:tcBorders>
          </w:tcPr>
          <w:p w14:paraId="4B96A0B4">
            <w:pPr>
              <w:rPr>
                <w:rFonts w:eastAsia="Calibri"/>
                <w:b/>
                <w:color w:val="000000" w:themeColor="text1"/>
                <w:lang w:val="en-US" w:eastAsia="en-US"/>
                <w14:textFill>
                  <w14:solidFill>
                    <w14:schemeClr w14:val="tx1"/>
                  </w14:solidFill>
                </w14:textFill>
              </w:rPr>
            </w:pPr>
            <w:r>
              <w:rPr>
                <w:rFonts w:eastAsia="Calibri"/>
                <w:b/>
                <w:color w:val="000000" w:themeColor="text1"/>
                <w:lang w:val="en-US" w:eastAsia="en-US"/>
                <w14:textFill>
                  <w14:solidFill>
                    <w14:schemeClr w14:val="tx1"/>
                  </w14:solidFill>
                </w14:textFill>
              </w:rPr>
              <w:t xml:space="preserve">6. Avizarea și consultarea publică a proiectului actului normative - </w:t>
            </w:r>
            <w:r>
              <w:rPr>
                <w:rFonts w:eastAsia="Calibri"/>
                <w:color w:val="000000" w:themeColor="text1"/>
                <w:lang w:val="ro-RO" w:eastAsia="en-US"/>
                <w14:textFill>
                  <w14:solidFill>
                    <w14:schemeClr w14:val="tx1"/>
                  </w14:solidFill>
                </w14:textFill>
              </w:rPr>
              <w:t>„Nu este aplicabil”.</w:t>
            </w:r>
          </w:p>
        </w:tc>
      </w:tr>
      <w:tr w14:paraId="51EF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5000" w:type="pct"/>
            <w:tcBorders>
              <w:top w:val="single" w:color="auto" w:sz="4" w:space="0"/>
              <w:left w:val="single" w:color="auto" w:sz="4" w:space="0"/>
              <w:bottom w:val="single" w:color="auto" w:sz="4" w:space="0"/>
              <w:right w:val="single" w:color="auto" w:sz="4" w:space="0"/>
            </w:tcBorders>
          </w:tcPr>
          <w:p w14:paraId="68797721">
            <w:pPr>
              <w:rPr>
                <w:rFonts w:eastAsia="Calibri"/>
                <w:b/>
                <w:color w:val="000000" w:themeColor="text1"/>
                <w:lang w:val="en-US" w:eastAsia="en-US"/>
                <w14:textFill>
                  <w14:solidFill>
                    <w14:schemeClr w14:val="tx1"/>
                  </w14:solidFill>
                </w14:textFill>
              </w:rPr>
            </w:pPr>
            <w:r>
              <w:rPr>
                <w:rFonts w:eastAsia="Calibri"/>
                <w:b/>
                <w:color w:val="000000" w:themeColor="text1"/>
                <w:lang w:val="en-US" w:eastAsia="en-US"/>
                <w14:textFill>
                  <w14:solidFill>
                    <w14:schemeClr w14:val="tx1"/>
                  </w14:solidFill>
                </w14:textFill>
              </w:rPr>
              <w:t xml:space="preserve">7. Concluziile expertizelor - </w:t>
            </w:r>
            <w:r>
              <w:rPr>
                <w:rFonts w:eastAsia="Calibri"/>
                <w:color w:val="000000" w:themeColor="text1"/>
                <w:lang w:val="ro-RO" w:eastAsia="en-US"/>
                <w14:textFill>
                  <w14:solidFill>
                    <w14:schemeClr w14:val="tx1"/>
                  </w14:solidFill>
                </w14:textFill>
              </w:rPr>
              <w:t>„Nu este aplicabil”.</w:t>
            </w:r>
          </w:p>
        </w:tc>
      </w:tr>
      <w:tr w14:paraId="5634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5000" w:type="pct"/>
            <w:tcBorders>
              <w:top w:val="single" w:color="auto" w:sz="4" w:space="0"/>
              <w:left w:val="single" w:color="auto" w:sz="4" w:space="0"/>
              <w:bottom w:val="single" w:color="auto" w:sz="4" w:space="0"/>
              <w:right w:val="single" w:color="auto" w:sz="4" w:space="0"/>
            </w:tcBorders>
          </w:tcPr>
          <w:p w14:paraId="0E3E41EF">
            <w:pPr>
              <w:tabs>
                <w:tab w:val="left" w:pos="884"/>
                <w:tab w:val="left" w:pos="1196"/>
              </w:tabs>
              <w:spacing w:line="276" w:lineRule="auto"/>
              <w:jc w:val="both"/>
              <w:rPr>
                <w:b/>
                <w:color w:val="000000" w:themeColor="text1"/>
                <w:lang w:val="en-US" w:eastAsia="en-US"/>
                <w14:textFill>
                  <w14:solidFill>
                    <w14:schemeClr w14:val="tx1"/>
                  </w14:solidFill>
                </w14:textFill>
              </w:rPr>
            </w:pPr>
            <w:r>
              <w:rPr>
                <w:b/>
                <w:color w:val="000000" w:themeColor="text1"/>
                <w:lang w:val="en-US"/>
                <w14:textFill>
                  <w14:solidFill>
                    <w14:schemeClr w14:val="tx1"/>
                  </w14:solidFill>
                </w14:textFill>
              </w:rPr>
              <w:t xml:space="preserve">8. Modul de încorporare a actului în cadrul normativ existent </w:t>
            </w:r>
          </w:p>
        </w:tc>
      </w:tr>
      <w:tr w14:paraId="1A24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000" w:type="pct"/>
            <w:tcBorders>
              <w:top w:val="single" w:color="auto" w:sz="4" w:space="0"/>
              <w:left w:val="single" w:color="auto" w:sz="4" w:space="0"/>
              <w:bottom w:val="single" w:color="auto" w:sz="4" w:space="0"/>
              <w:right w:val="single" w:color="auto" w:sz="4" w:space="0"/>
            </w:tcBorders>
          </w:tcPr>
          <w:p w14:paraId="68075F17">
            <w:pPr>
              <w:tabs>
                <w:tab w:val="left" w:pos="884"/>
                <w:tab w:val="left" w:pos="1196"/>
              </w:tabs>
              <w:jc w:val="both"/>
              <w:rPr>
                <w:color w:val="000000" w:themeColor="text1"/>
                <w:lang w:val="en-US" w:eastAsia="en-US"/>
                <w14:textFill>
                  <w14:solidFill>
                    <w14:schemeClr w14:val="tx1"/>
                  </w14:solidFill>
                </w14:textFill>
              </w:rPr>
            </w:pPr>
            <w:r>
              <w:rPr>
                <w:color w:val="000000" w:themeColor="text1"/>
                <w:lang w:val="en-US"/>
                <w14:textFill>
                  <w14:solidFill>
                    <w14:schemeClr w14:val="tx1"/>
                  </w14:solidFill>
                </w14:textFill>
              </w:rPr>
              <w:t xml:space="preserve">   Proiectul de decizie nu necesită completarea, modificarea și/sau abrogarea altor acte normative ori elaborarea unor acte normative noi.</w:t>
            </w:r>
          </w:p>
        </w:tc>
      </w:tr>
      <w:tr w14:paraId="67C0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5000" w:type="pct"/>
            <w:tcBorders>
              <w:top w:val="single" w:color="auto" w:sz="4" w:space="0"/>
              <w:left w:val="single" w:color="auto" w:sz="4" w:space="0"/>
              <w:bottom w:val="single" w:color="auto" w:sz="4" w:space="0"/>
              <w:right w:val="single" w:color="auto" w:sz="4" w:space="0"/>
            </w:tcBorders>
          </w:tcPr>
          <w:p w14:paraId="6549D6A0">
            <w:pPr>
              <w:tabs>
                <w:tab w:val="left" w:pos="884"/>
                <w:tab w:val="left" w:pos="1196"/>
              </w:tabs>
              <w:spacing w:line="276" w:lineRule="auto"/>
              <w:jc w:val="both"/>
              <w:rPr>
                <w:color w:val="000000" w:themeColor="text1"/>
                <w:lang w:val="en-US"/>
                <w14:textFill>
                  <w14:solidFill>
                    <w14:schemeClr w14:val="tx1"/>
                  </w14:solidFill>
                </w14:textFill>
              </w:rPr>
            </w:pPr>
            <w:r>
              <w:rPr>
                <w:b/>
                <w:color w:val="000000" w:themeColor="text1"/>
                <w:lang w:val="en-US"/>
                <w14:textFill>
                  <w14:solidFill>
                    <w14:schemeClr w14:val="tx1"/>
                  </w14:solidFill>
                </w14:textFill>
              </w:rPr>
              <w:t xml:space="preserve">9. Măsurile necesare pentru implementarea prevederilor proiectului actului normative - </w:t>
            </w:r>
            <w:r>
              <w:rPr>
                <w:color w:val="000000" w:themeColor="text1"/>
                <w:lang w:val="ro-RO"/>
                <w14:textFill>
                  <w14:solidFill>
                    <w14:schemeClr w14:val="tx1"/>
                  </w14:solidFill>
                </w14:textFill>
              </w:rPr>
              <w:t>„Nu este aplicabil”.</w:t>
            </w:r>
          </w:p>
        </w:tc>
      </w:tr>
    </w:tbl>
    <w:p w14:paraId="3BEDC200">
      <w:pPr>
        <w:jc w:val="right"/>
        <w:rPr>
          <w:b/>
          <w:color w:val="000000" w:themeColor="text1"/>
          <w:lang w:val="en-US"/>
          <w14:textFill>
            <w14:solidFill>
              <w14:schemeClr w14:val="tx1"/>
            </w14:solidFill>
          </w14:textFill>
        </w:rPr>
      </w:pPr>
    </w:p>
    <w:p w14:paraId="46DFCD65">
      <w:pPr>
        <w:jc w:val="right"/>
        <w:rPr>
          <w:color w:val="000000" w:themeColor="text1"/>
          <w:lang w:val="ro-RO"/>
          <w14:textFill>
            <w14:solidFill>
              <w14:schemeClr w14:val="tx1"/>
            </w14:solidFill>
          </w14:textFill>
        </w:rPr>
      </w:pPr>
      <w:r>
        <w:rPr>
          <w:b/>
          <w:color w:val="000000" w:themeColor="text1"/>
          <w:lang w:val="en-US"/>
          <w14:textFill>
            <w14:solidFill>
              <w14:schemeClr w14:val="tx1"/>
            </w14:solidFill>
          </w14:textFill>
        </w:rPr>
        <w:t>Întocmit:</w:t>
      </w:r>
      <w:r>
        <w:rPr>
          <w:color w:val="000000" w:themeColor="text1"/>
          <w:lang w:val="ro-RO"/>
          <w14:textFill>
            <w14:solidFill>
              <w14:schemeClr w14:val="tx1"/>
            </w14:solidFill>
          </w14:textFill>
        </w:rPr>
        <w:t xml:space="preserve">                                                                                                                                                   </w:t>
      </w:r>
    </w:p>
    <w:p w14:paraId="2EE7A067">
      <w:pPr>
        <w:jc w:val="right"/>
        <w:rPr>
          <w:b/>
          <w:color w:val="000000" w:themeColor="text1"/>
          <w:lang w:val="ro-RO"/>
          <w14:textFill>
            <w14:solidFill>
              <w14:schemeClr w14:val="tx1"/>
            </w14:solidFill>
          </w14:textFill>
        </w:rPr>
      </w:pPr>
      <w:r>
        <w:rPr>
          <w:b/>
          <w:lang w:val="ro-RO"/>
        </w:rPr>
        <w:t>Director-</w:t>
      </w:r>
      <w:r>
        <w:rPr>
          <w:b/>
          <w:color w:val="000000" w:themeColor="text1"/>
          <w:lang w:val="ro-RO"/>
          <w14:textFill>
            <w14:solidFill>
              <w14:schemeClr w14:val="tx1"/>
            </w14:solidFill>
          </w14:textFill>
        </w:rPr>
        <w:t xml:space="preserve"> </w:t>
      </w:r>
      <w:r>
        <w:rPr>
          <w:b/>
          <w:bCs/>
          <w:color w:val="000000"/>
          <w:lang w:val="en-US"/>
        </w:rPr>
        <w:t>I.P. Gimnaziul ,,Iurie Boghiu,, din s.Flămînzeni</w:t>
      </w:r>
    </w:p>
    <w:p w14:paraId="268976A6">
      <w:pPr>
        <w:jc w:val="right"/>
        <w:rPr>
          <w:lang w:val="fr-FR"/>
        </w:rPr>
      </w:pPr>
      <w:r>
        <w:rPr>
          <w:b/>
          <w:color w:val="000000" w:themeColor="text1"/>
          <w:lang w:val="ro-RO"/>
          <w14:textFill>
            <w14:solidFill>
              <w14:schemeClr w14:val="tx1"/>
            </w14:solidFill>
          </w14:textFill>
        </w:rPr>
        <w:t>Lilia Cumpătă</w:t>
      </w:r>
    </w:p>
    <w:p w14:paraId="224EF59C">
      <w:pPr>
        <w:jc w:val="right"/>
        <w:rPr>
          <w:szCs w:val="36"/>
          <w:lang w:val="ro-RO"/>
        </w:rPr>
      </w:pPr>
      <w:r>
        <w:rPr>
          <w:sz w:val="28"/>
          <w:szCs w:val="28"/>
          <w:lang w:val="fr-FR"/>
        </w:rPr>
        <w:t>___________</w:t>
      </w:r>
      <w:r>
        <w:rPr>
          <w:szCs w:val="36"/>
          <w:lang w:val="ro-RO"/>
        </w:rPr>
        <w:t xml:space="preserve"> </w:t>
      </w:r>
    </w:p>
    <w:p w14:paraId="581FE2EB">
      <w:pPr>
        <w:jc w:val="right"/>
        <w:rPr>
          <w:szCs w:val="36"/>
          <w:lang w:val="ro-RO"/>
        </w:rPr>
      </w:pPr>
    </w:p>
    <w:p w14:paraId="502FB9C8">
      <w:pPr>
        <w:jc w:val="right"/>
        <w:rPr>
          <w:szCs w:val="36"/>
          <w:lang w:val="ro-RO"/>
        </w:rPr>
      </w:pPr>
    </w:p>
    <w:p w14:paraId="731AF2D7">
      <w:pPr>
        <w:jc w:val="right"/>
        <w:rPr>
          <w:szCs w:val="36"/>
          <w:lang w:val="ro-RO"/>
        </w:rPr>
      </w:pPr>
      <w:r>
        <w:rPr>
          <w:szCs w:val="36"/>
          <w:lang w:val="ro-RO"/>
        </w:rPr>
        <w:t xml:space="preserve">    </w:t>
      </w:r>
    </w:p>
    <w:tbl>
      <w:tblPr>
        <w:tblStyle w:val="5"/>
        <w:tblpPr w:leftFromText="180" w:rightFromText="180" w:vertAnchor="text" w:horzAnchor="margin" w:tblpY="-400"/>
        <w:tblW w:w="9645" w:type="dxa"/>
        <w:tblInd w:w="0" w:type="dxa"/>
        <w:tblLayout w:type="fixed"/>
        <w:tblCellMar>
          <w:top w:w="0" w:type="dxa"/>
          <w:left w:w="108" w:type="dxa"/>
          <w:bottom w:w="0" w:type="dxa"/>
          <w:right w:w="108" w:type="dxa"/>
        </w:tblCellMar>
      </w:tblPr>
      <w:tblGrid>
        <w:gridCol w:w="1367"/>
        <w:gridCol w:w="6658"/>
        <w:gridCol w:w="1620"/>
      </w:tblGrid>
      <w:tr w14:paraId="7CC0338B">
        <w:tblPrEx>
          <w:tblCellMar>
            <w:top w:w="0" w:type="dxa"/>
            <w:left w:w="108" w:type="dxa"/>
            <w:bottom w:w="0" w:type="dxa"/>
            <w:right w:w="108" w:type="dxa"/>
          </w:tblCellMar>
        </w:tblPrEx>
        <w:trPr>
          <w:trHeight w:val="1702" w:hRule="atLeast"/>
        </w:trPr>
        <w:tc>
          <w:tcPr>
            <w:tcW w:w="1367" w:type="dxa"/>
            <w:tcBorders>
              <w:top w:val="nil"/>
              <w:left w:val="nil"/>
              <w:bottom w:val="double" w:color="auto" w:sz="4" w:space="0"/>
              <w:right w:val="nil"/>
            </w:tcBorders>
          </w:tcPr>
          <w:p w14:paraId="43D42BF5">
            <w:pPr>
              <w:pStyle w:val="17"/>
              <w:spacing w:line="276" w:lineRule="auto"/>
              <w:jc w:val="both"/>
              <w:rPr>
                <w:rFonts w:ascii="Times New Roman" w:hAnsi="Times New Roman"/>
                <w:b/>
                <w:sz w:val="24"/>
                <w:szCs w:val="24"/>
              </w:rPr>
            </w:pPr>
          </w:p>
          <w:p w14:paraId="24D2A535">
            <w:pPr>
              <w:pStyle w:val="17"/>
              <w:spacing w:line="276" w:lineRule="auto"/>
              <w:jc w:val="both"/>
              <w:rPr>
                <w:rFonts w:ascii="Times New Roman" w:hAnsi="Times New Roman"/>
                <w:b/>
                <w:sz w:val="24"/>
                <w:szCs w:val="24"/>
              </w:rPr>
            </w:pPr>
          </w:p>
          <w:p w14:paraId="04B8115C">
            <w:pPr>
              <w:pStyle w:val="17"/>
              <w:spacing w:line="276" w:lineRule="auto"/>
              <w:jc w:val="both"/>
              <w:rPr>
                <w:rFonts w:ascii="Times New Roman" w:hAnsi="Times New Roman"/>
                <w:b/>
                <w:sz w:val="24"/>
                <w:szCs w:val="24"/>
              </w:rPr>
            </w:pPr>
            <w:r>
              <w:rPr>
                <w:sz w:val="24"/>
                <w:szCs w:val="24"/>
                <w:lang w:val="ru-RU" w:eastAsia="ru-RU"/>
              </w:rPr>
              <w:drawing>
                <wp:anchor distT="0" distB="0" distL="114935" distR="114935" simplePos="0" relativeHeight="251661312" behindDoc="0" locked="0" layoutInCell="1" allowOverlap="1">
                  <wp:simplePos x="0" y="0"/>
                  <wp:positionH relativeFrom="margin">
                    <wp:posOffset>116205</wp:posOffset>
                  </wp:positionH>
                  <wp:positionV relativeFrom="margin">
                    <wp:posOffset>229870</wp:posOffset>
                  </wp:positionV>
                  <wp:extent cx="565785" cy="692785"/>
                  <wp:effectExtent l="0" t="0" r="571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65785" cy="692785"/>
                          </a:xfrm>
                          <a:prstGeom prst="rect">
                            <a:avLst/>
                          </a:prstGeom>
                          <a:solidFill>
                            <a:srgbClr val="FFFFFF"/>
                          </a:solidFill>
                        </pic:spPr>
                      </pic:pic>
                    </a:graphicData>
                  </a:graphic>
                </wp:anchor>
              </w:drawing>
            </w:r>
          </w:p>
        </w:tc>
        <w:tc>
          <w:tcPr>
            <w:tcW w:w="6658" w:type="dxa"/>
            <w:tcBorders>
              <w:top w:val="nil"/>
              <w:left w:val="nil"/>
              <w:bottom w:val="double" w:color="auto" w:sz="4" w:space="0"/>
              <w:right w:val="nil"/>
            </w:tcBorders>
          </w:tcPr>
          <w:p w14:paraId="05C11B32">
            <w:pPr>
              <w:pStyle w:val="17"/>
              <w:spacing w:line="276" w:lineRule="auto"/>
              <w:jc w:val="both"/>
              <w:rPr>
                <w:rFonts w:ascii="Times New Roman" w:hAnsi="Times New Roman"/>
                <w:b/>
                <w:sz w:val="24"/>
                <w:szCs w:val="24"/>
                <w:lang w:val="it-IT"/>
              </w:rPr>
            </w:pPr>
          </w:p>
          <w:p w14:paraId="02951798">
            <w:pPr>
              <w:pStyle w:val="17"/>
              <w:spacing w:line="276" w:lineRule="auto"/>
              <w:jc w:val="center"/>
              <w:rPr>
                <w:rFonts w:ascii="Times New Roman" w:hAnsi="Times New Roman"/>
                <w:b/>
                <w:sz w:val="24"/>
                <w:szCs w:val="24"/>
                <w:lang w:val="it-IT"/>
              </w:rPr>
            </w:pPr>
            <w:r>
              <w:rPr>
                <w:rFonts w:ascii="Times New Roman" w:hAnsi="Times New Roman"/>
                <w:b/>
                <w:sz w:val="24"/>
                <w:szCs w:val="24"/>
                <w:lang w:val="it-IT"/>
              </w:rPr>
              <w:t>REPUBLICA  MOLDOVA</w:t>
            </w:r>
          </w:p>
          <w:p w14:paraId="4CD138CD">
            <w:pPr>
              <w:pStyle w:val="17"/>
              <w:spacing w:line="276" w:lineRule="auto"/>
              <w:jc w:val="center"/>
              <w:rPr>
                <w:rFonts w:ascii="Times New Roman" w:hAnsi="Times New Roman"/>
                <w:b/>
                <w:sz w:val="24"/>
                <w:szCs w:val="24"/>
              </w:rPr>
            </w:pPr>
            <w:r>
              <w:rPr>
                <w:rFonts w:ascii="Times New Roman" w:hAnsi="Times New Roman"/>
                <w:b/>
                <w:sz w:val="24"/>
                <w:szCs w:val="24"/>
                <w:lang w:val="it-IT"/>
              </w:rPr>
              <w:t>CONSILIUL  RAIONAL S</w:t>
            </w:r>
            <w:r>
              <w:rPr>
                <w:rFonts w:ascii="Times New Roman" w:hAnsi="Times New Roman"/>
                <w:b/>
                <w:sz w:val="24"/>
                <w:szCs w:val="24"/>
              </w:rPr>
              <w:t>ÎNGEREI</w:t>
            </w:r>
          </w:p>
          <w:p w14:paraId="2213E373">
            <w:pPr>
              <w:pStyle w:val="17"/>
              <w:spacing w:line="276" w:lineRule="auto"/>
              <w:jc w:val="center"/>
              <w:rPr>
                <w:rFonts w:ascii="Times New Roman" w:hAnsi="Times New Roman"/>
                <w:b/>
                <w:sz w:val="24"/>
                <w:szCs w:val="24"/>
              </w:rPr>
            </w:pPr>
            <w:r>
              <w:rPr>
                <w:rFonts w:ascii="Times New Roman" w:hAnsi="Times New Roman"/>
                <w:b/>
                <w:sz w:val="24"/>
                <w:szCs w:val="24"/>
              </w:rPr>
              <w:t>PREŞEDINTELE RAIONULUI</w:t>
            </w:r>
          </w:p>
          <w:p w14:paraId="716FC364">
            <w:pPr>
              <w:pStyle w:val="17"/>
              <w:spacing w:line="276" w:lineRule="auto"/>
              <w:ind w:left="-1509" w:firstLine="1509"/>
              <w:jc w:val="center"/>
              <w:rPr>
                <w:rFonts w:ascii="Times New Roman" w:hAnsi="Times New Roman"/>
                <w:b/>
                <w:sz w:val="24"/>
                <w:szCs w:val="24"/>
                <w:lang w:val="ro-RO"/>
              </w:rPr>
            </w:pPr>
          </w:p>
        </w:tc>
        <w:tc>
          <w:tcPr>
            <w:tcW w:w="1620" w:type="dxa"/>
            <w:tcBorders>
              <w:top w:val="nil"/>
              <w:left w:val="nil"/>
              <w:bottom w:val="double" w:color="auto" w:sz="4" w:space="0"/>
              <w:right w:val="nil"/>
            </w:tcBorders>
          </w:tcPr>
          <w:p w14:paraId="1EB2C5E6">
            <w:pPr>
              <w:pStyle w:val="17"/>
              <w:spacing w:line="276" w:lineRule="auto"/>
              <w:jc w:val="both"/>
              <w:rPr>
                <w:rFonts w:ascii="Times New Roman" w:hAnsi="Times New Roman"/>
                <w:b/>
                <w:sz w:val="24"/>
                <w:szCs w:val="24"/>
                <w:lang w:val="it-IT"/>
              </w:rPr>
            </w:pPr>
          </w:p>
          <w:p w14:paraId="4FEB1715">
            <w:pPr>
              <w:pStyle w:val="17"/>
              <w:spacing w:line="276" w:lineRule="auto"/>
              <w:jc w:val="both"/>
              <w:rPr>
                <w:rFonts w:ascii="Times New Roman" w:hAnsi="Times New Roman"/>
                <w:b/>
                <w:sz w:val="24"/>
                <w:szCs w:val="24"/>
              </w:rPr>
            </w:pPr>
            <w:r>
              <w:rPr>
                <w:rFonts w:ascii="Times New Roman" w:hAnsi="Times New Roman"/>
                <w:b/>
                <w:sz w:val="24"/>
                <w:szCs w:val="24"/>
                <w:lang w:val="ru-RU" w:eastAsia="ru-RU"/>
              </w:rPr>
              <w:drawing>
                <wp:inline distT="0" distB="0" distL="0" distR="0">
                  <wp:extent cx="485775" cy="619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5775" cy="619125"/>
                          </a:xfrm>
                          <a:prstGeom prst="rect">
                            <a:avLst/>
                          </a:prstGeom>
                          <a:solidFill>
                            <a:srgbClr val="FFFFFF"/>
                          </a:solidFill>
                          <a:ln>
                            <a:noFill/>
                          </a:ln>
                        </pic:spPr>
                      </pic:pic>
                    </a:graphicData>
                  </a:graphic>
                </wp:inline>
              </w:drawing>
            </w:r>
          </w:p>
          <w:p w14:paraId="40C8FE3A">
            <w:pPr>
              <w:pStyle w:val="17"/>
              <w:spacing w:line="276" w:lineRule="auto"/>
              <w:jc w:val="both"/>
              <w:rPr>
                <w:rFonts w:ascii="Times New Roman" w:hAnsi="Times New Roman"/>
                <w:b/>
                <w:sz w:val="24"/>
                <w:szCs w:val="24"/>
              </w:rPr>
            </w:pPr>
          </w:p>
          <w:p w14:paraId="5687B17D">
            <w:pPr>
              <w:pStyle w:val="17"/>
              <w:spacing w:line="276" w:lineRule="auto"/>
              <w:jc w:val="both"/>
              <w:rPr>
                <w:rFonts w:ascii="Times New Roman" w:hAnsi="Times New Roman"/>
                <w:b/>
                <w:sz w:val="24"/>
                <w:szCs w:val="24"/>
              </w:rPr>
            </w:pPr>
          </w:p>
        </w:tc>
      </w:tr>
    </w:tbl>
    <w:p w14:paraId="061E0C75">
      <w:pPr>
        <w:tabs>
          <w:tab w:val="left" w:pos="7094"/>
        </w:tabs>
        <w:spacing w:line="276" w:lineRule="auto"/>
        <w:jc w:val="center"/>
        <w:rPr>
          <w:b/>
          <w:lang w:val="ro-RO"/>
        </w:rPr>
      </w:pPr>
      <w:r>
        <w:rPr>
          <w:b/>
          <w:lang w:val="ro-RO"/>
        </w:rPr>
        <w:t>PROIECT DE DECIZIE NR.__________</w:t>
      </w:r>
    </w:p>
    <w:p w14:paraId="2FC26141">
      <w:pPr>
        <w:tabs>
          <w:tab w:val="left" w:pos="7094"/>
        </w:tabs>
        <w:spacing w:line="276" w:lineRule="auto"/>
        <w:jc w:val="center"/>
        <w:rPr>
          <w:b/>
          <w:lang w:val="ro-RO"/>
        </w:rPr>
      </w:pPr>
      <w:r>
        <w:rPr>
          <w:b/>
          <w:lang w:val="ro-RO"/>
        </w:rPr>
        <w:t>DIN____ _______________2026</w:t>
      </w:r>
    </w:p>
    <w:p w14:paraId="2C941E4B">
      <w:pPr>
        <w:tabs>
          <w:tab w:val="left" w:pos="7094"/>
        </w:tabs>
        <w:spacing w:line="276" w:lineRule="auto"/>
        <w:jc w:val="center"/>
        <w:rPr>
          <w:b/>
          <w:lang w:val="ro-RO"/>
        </w:rPr>
      </w:pPr>
      <w:r>
        <w:rPr>
          <w:b/>
          <w:lang w:val="ro-RO"/>
        </w:rPr>
        <w:t>OR. SÎNGEREI</w:t>
      </w:r>
    </w:p>
    <w:p w14:paraId="2210B138">
      <w:pPr>
        <w:tabs>
          <w:tab w:val="left" w:pos="7094"/>
        </w:tabs>
        <w:spacing w:line="276" w:lineRule="auto"/>
        <w:jc w:val="both"/>
        <w:rPr>
          <w:b/>
          <w:color w:val="000000" w:themeColor="text1"/>
          <w:lang w:val="ro-RO"/>
          <w14:textFill>
            <w14:solidFill>
              <w14:schemeClr w14:val="tx1"/>
            </w14:solidFill>
          </w14:textFill>
        </w:rPr>
      </w:pPr>
    </w:p>
    <w:p w14:paraId="7E9676F1">
      <w:pPr>
        <w:tabs>
          <w:tab w:val="left" w:pos="7094"/>
        </w:tabs>
        <w:spacing w:line="276" w:lineRule="auto"/>
        <w:jc w:val="both"/>
        <w:rPr>
          <w:b/>
          <w:color w:val="000000" w:themeColor="text1"/>
          <w:lang w:val="ro-RO"/>
          <w14:textFill>
            <w14:solidFill>
              <w14:schemeClr w14:val="tx1"/>
            </w14:solidFill>
          </w14:textFill>
        </w:rPr>
      </w:pPr>
      <w:r>
        <w:rPr>
          <w:b/>
          <w:color w:val="000000" w:themeColor="text1"/>
          <w:lang w:val="ro-RO"/>
          <w14:textFill>
            <w14:solidFill>
              <w14:schemeClr w14:val="tx1"/>
            </w14:solidFill>
          </w14:textFill>
        </w:rPr>
        <w:t xml:space="preserve">Privind autorizarea casării bunurilor uzate raportate la mijloace fixe,  </w:t>
      </w:r>
    </w:p>
    <w:p w14:paraId="287A806D">
      <w:pPr>
        <w:tabs>
          <w:tab w:val="left" w:pos="7094"/>
        </w:tabs>
        <w:spacing w:line="276" w:lineRule="auto"/>
        <w:jc w:val="both"/>
        <w:rPr>
          <w:b/>
          <w:bCs/>
          <w:color w:val="000000"/>
          <w:lang w:val="ro-RO"/>
        </w:rPr>
      </w:pPr>
      <w:r>
        <w:rPr>
          <w:b/>
          <w:color w:val="000000" w:themeColor="text1"/>
          <w:lang w:val="ro-RO"/>
          <w14:textFill>
            <w14:solidFill>
              <w14:schemeClr w14:val="tx1"/>
            </w14:solidFill>
          </w14:textFill>
        </w:rPr>
        <w:t xml:space="preserve">aflate în gestiunea </w:t>
      </w:r>
      <w:r>
        <w:rPr>
          <w:b/>
          <w:bCs/>
          <w:color w:val="000000"/>
          <w:lang w:val="ro-RO"/>
        </w:rPr>
        <w:t>I.P. Gimnaziul ,,Iurie Boghiu,, din s.</w:t>
      </w:r>
      <w:r>
        <w:rPr>
          <w:rFonts w:hint="default"/>
          <w:b/>
          <w:bCs/>
          <w:color w:val="000000"/>
          <w:lang w:val="ro-RO"/>
        </w:rPr>
        <w:t xml:space="preserve"> </w:t>
      </w:r>
      <w:bookmarkStart w:id="0" w:name="_GoBack"/>
      <w:bookmarkEnd w:id="0"/>
      <w:r>
        <w:rPr>
          <w:b/>
          <w:bCs/>
          <w:color w:val="000000"/>
          <w:lang w:val="ro-RO"/>
        </w:rPr>
        <w:t>Flămînzeni r-nul Sîngerei</w:t>
      </w:r>
    </w:p>
    <w:p w14:paraId="33A18A42">
      <w:pPr>
        <w:tabs>
          <w:tab w:val="left" w:pos="7094"/>
        </w:tabs>
        <w:spacing w:line="276" w:lineRule="auto"/>
        <w:jc w:val="both"/>
        <w:rPr>
          <w:b/>
          <w:color w:val="000000" w:themeColor="text1"/>
          <w:lang w:val="ro-RO"/>
          <w14:textFill>
            <w14:solidFill>
              <w14:schemeClr w14:val="tx1"/>
            </w14:solidFill>
          </w14:textFill>
        </w:rPr>
      </w:pPr>
    </w:p>
    <w:p w14:paraId="72211D78">
      <w:pPr>
        <w:ind w:firstLine="567"/>
        <w:jc w:val="both"/>
        <w:rPr>
          <w:b/>
          <w:color w:val="000000" w:themeColor="text1"/>
          <w:lang w:val="ro-RO"/>
          <w14:textFill>
            <w14:solidFill>
              <w14:schemeClr w14:val="tx1"/>
            </w14:solidFill>
          </w14:textFill>
        </w:rPr>
      </w:pPr>
      <w:r>
        <w:rPr>
          <w:color w:val="000000" w:themeColor="text1"/>
          <w:lang w:val="en-US"/>
          <w14:textFill>
            <w14:solidFill>
              <w14:schemeClr w14:val="tx1"/>
            </w14:solidFill>
          </w14:textFill>
        </w:rPr>
        <w:t xml:space="preserve">Având în vedere: Nota de fundamentare ,,Privind autorizarea casării bunurilor uzate, raportate la mijloace fixe, aflate în gestiunea </w:t>
      </w:r>
      <w:r>
        <w:rPr>
          <w:bCs/>
          <w:color w:val="000000"/>
          <w:lang w:val="en-US"/>
        </w:rPr>
        <w:t>I.P. Gimnaziul ,,Iurie Boghiu,, din s. Flămînzeni r-nul Sîngerei;</w:t>
      </w:r>
    </w:p>
    <w:p w14:paraId="081D7E5D">
      <w:pPr>
        <w:pStyle w:val="27"/>
        <w:spacing w:after="0" w:line="276" w:lineRule="auto"/>
        <w:ind w:firstLine="567"/>
        <w:jc w:val="both"/>
        <w:rPr>
          <w:b w:val="0"/>
          <w:color w:val="000000" w:themeColor="text1"/>
          <w14:textFill>
            <w14:solidFill>
              <w14:schemeClr w14:val="tx1"/>
            </w14:solidFill>
          </w14:textFill>
        </w:rPr>
      </w:pPr>
      <w:r>
        <w:rPr>
          <w:b w:val="0"/>
          <w:color w:val="000000" w:themeColor="text1"/>
          <w14:textFill>
            <w14:solidFill>
              <w14:schemeClr w14:val="tx1"/>
            </w14:solidFill>
          </w14:textFill>
        </w:rPr>
        <w:t xml:space="preserve">În temeiul art. </w:t>
      </w:r>
      <w:r>
        <w:rPr>
          <w:b w:val="0"/>
          <w:color w:val="000000" w:themeColor="text1"/>
          <w:lang w:val="en-US"/>
          <w14:textFill>
            <w14:solidFill>
              <w14:schemeClr w14:val="tx1"/>
            </w14:solidFill>
          </w14:textFill>
        </w:rPr>
        <w:t xml:space="preserve">art. 43 alin.(1) lit. c) al Legii privind administraţia publică locală nr. 436/2006, Legea cu privire la actele normative nr. 100/2017, Hotărârea Guvernului nr. 500/1998 despre aprobarea Regulamentului privind casarea bunurilor uzate, raportate la mijloacele fixe, Actele de diagnosticare eliberate de SRL „Net-Curier” din or. Sîngerei din 07 și 09.09.2026, Ordinul </w:t>
      </w:r>
      <w:r>
        <w:rPr>
          <w:b w:val="0"/>
          <w:bCs/>
          <w:color w:val="000000" w:themeColor="text1"/>
          <w:lang w:val="en-US"/>
          <w14:textFill>
            <w14:solidFill>
              <w14:schemeClr w14:val="tx1"/>
            </w14:solidFill>
          </w14:textFill>
        </w:rPr>
        <w:t>I.P. Gimnaziul „Iurie Boghiu,, din s. Flămînzeni</w:t>
      </w:r>
      <w:r>
        <w:rPr>
          <w:b w:val="0"/>
          <w:color w:val="000000" w:themeColor="text1"/>
          <w:lang w:val="en-US"/>
          <w14:textFill>
            <w14:solidFill>
              <w14:schemeClr w14:val="tx1"/>
            </w14:solidFill>
          </w14:textFill>
        </w:rPr>
        <w:t xml:space="preserve"> r. Sîngerei nr. 16 din 01.09.2026 despre constituirea comisiei de recepție, inventariere și casare, precum și în baza Demersului nr. 83 din 11.09.2026.</w:t>
      </w:r>
      <w:r>
        <w:rPr>
          <w:b w:val="0"/>
          <w:color w:val="000000" w:themeColor="text1"/>
          <w14:textFill>
            <w14:solidFill>
              <w14:schemeClr w14:val="tx1"/>
            </w14:solidFill>
          </w14:textFill>
        </w:rPr>
        <w:t xml:space="preserve">, </w:t>
      </w:r>
    </w:p>
    <w:p w14:paraId="4559B6E1">
      <w:pPr>
        <w:pStyle w:val="27"/>
        <w:spacing w:after="0" w:line="276"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Consiliul raional,</w:t>
      </w:r>
    </w:p>
    <w:p w14:paraId="5746B2C1">
      <w:pPr>
        <w:tabs>
          <w:tab w:val="left" w:pos="7094"/>
        </w:tabs>
        <w:spacing w:line="276" w:lineRule="auto"/>
        <w:jc w:val="center"/>
        <w:rPr>
          <w:b/>
          <w:color w:val="000000" w:themeColor="text1"/>
          <w:lang w:val="ro-RO"/>
          <w14:textFill>
            <w14:solidFill>
              <w14:schemeClr w14:val="tx1"/>
            </w14:solidFill>
          </w14:textFill>
        </w:rPr>
      </w:pPr>
      <w:r>
        <w:rPr>
          <w:b/>
          <w:color w:val="000000" w:themeColor="text1"/>
          <w:lang w:val="ro-RO"/>
          <w14:textFill>
            <w14:solidFill>
              <w14:schemeClr w14:val="tx1"/>
            </w14:solidFill>
          </w14:textFill>
        </w:rPr>
        <w:t>DECIDE:</w:t>
      </w:r>
    </w:p>
    <w:p w14:paraId="6F2BC164">
      <w:pPr>
        <w:pStyle w:val="27"/>
        <w:numPr>
          <w:ilvl w:val="0"/>
          <w:numId w:val="1"/>
        </w:numPr>
        <w:tabs>
          <w:tab w:val="left" w:pos="709"/>
          <w:tab w:val="left" w:pos="851"/>
        </w:tabs>
        <w:spacing w:after="0" w:line="276" w:lineRule="auto"/>
        <w:ind w:left="0" w:firstLine="567"/>
        <w:jc w:val="both"/>
        <w:rPr>
          <w:b w:val="0"/>
          <w:color w:val="000000" w:themeColor="text1"/>
          <w14:textFill>
            <w14:solidFill>
              <w14:schemeClr w14:val="tx1"/>
            </w14:solidFill>
          </w14:textFill>
        </w:rPr>
      </w:pPr>
      <w:r>
        <w:rPr>
          <w:b w:val="0"/>
          <w:color w:val="000000" w:themeColor="text1"/>
          <w14:textFill>
            <w14:solidFill>
              <w14:schemeClr w14:val="tx1"/>
            </w14:solidFill>
          </w14:textFill>
        </w:rPr>
        <w:t xml:space="preserve">Se autorizează casarea bunurilor uzate, raportate la mijloacele fixe, aflate în gestiunea </w:t>
      </w:r>
      <w:r>
        <w:rPr>
          <w:b w:val="0"/>
          <w:bCs/>
          <w:color w:val="000000"/>
        </w:rPr>
        <w:t>I.P. Gimnaziul ,,Iurie Boghiu” din s. Flămînzeni r-nul. Sîngerei</w:t>
      </w:r>
      <w:r>
        <w:rPr>
          <w:b w:val="0"/>
          <w:color w:val="000000" w:themeColor="text1"/>
          <w14:textFill>
            <w14:solidFill>
              <w14:schemeClr w14:val="tx1"/>
            </w14:solidFill>
          </w14:textFill>
        </w:rPr>
        <w:t>,</w:t>
      </w:r>
      <w:r>
        <w:rPr>
          <w:color w:val="000000" w:themeColor="text1"/>
          <w14:textFill>
            <w14:solidFill>
              <w14:schemeClr w14:val="tx1"/>
            </w14:solidFill>
          </w14:textFill>
        </w:rPr>
        <w:t xml:space="preserve"> </w:t>
      </w:r>
      <w:r>
        <w:rPr>
          <w:b w:val="0"/>
          <w:color w:val="000000" w:themeColor="text1"/>
          <w14:textFill>
            <w14:solidFill>
              <w14:schemeClr w14:val="tx1"/>
            </w14:solidFill>
          </w14:textFill>
        </w:rPr>
        <w:t>conform Registrului actelor mijloacelor fixe ce urmează a fi casate (Anexa 1).</w:t>
      </w:r>
    </w:p>
    <w:p w14:paraId="03A6BB00">
      <w:pPr>
        <w:pStyle w:val="27"/>
        <w:numPr>
          <w:ilvl w:val="0"/>
          <w:numId w:val="1"/>
        </w:numPr>
        <w:tabs>
          <w:tab w:val="left" w:pos="709"/>
          <w:tab w:val="left" w:pos="851"/>
        </w:tabs>
        <w:spacing w:after="0" w:line="276" w:lineRule="auto"/>
        <w:ind w:left="0" w:firstLine="567"/>
        <w:jc w:val="both"/>
        <w:rPr>
          <w:b w:val="0"/>
          <w:color w:val="000000" w:themeColor="text1"/>
          <w14:textFill>
            <w14:solidFill>
              <w14:schemeClr w14:val="tx1"/>
            </w14:solidFill>
          </w14:textFill>
        </w:rPr>
      </w:pPr>
      <w:r>
        <w:rPr>
          <w:b w:val="0"/>
          <w:color w:val="000000" w:themeColor="text1"/>
          <w14:textFill>
            <w14:solidFill>
              <w14:schemeClr w14:val="tx1"/>
            </w14:solidFill>
          </w14:textFill>
        </w:rPr>
        <w:t>Bunurile casate vor fi predate (după caz) spre utilizare agentului economic care dispune de licență, ce atestă dreptul de a efectua această activitate.</w:t>
      </w:r>
      <w:r>
        <w:rPr>
          <w:color w:val="000000" w:themeColor="text1"/>
          <w14:textFill>
            <w14:solidFill>
              <w14:schemeClr w14:val="tx1"/>
            </w14:solidFill>
          </w14:textFill>
        </w:rPr>
        <w:t xml:space="preserve">   </w:t>
      </w:r>
      <w:r>
        <w:rPr>
          <w:b w:val="0"/>
          <w:color w:val="000000" w:themeColor="text1"/>
          <w14:textFill>
            <w14:solidFill>
              <w14:schemeClr w14:val="tx1"/>
            </w14:solidFill>
          </w14:textFill>
        </w:rPr>
        <w:t xml:space="preserve"> </w:t>
      </w:r>
    </w:p>
    <w:p w14:paraId="7B808814">
      <w:pPr>
        <w:pStyle w:val="27"/>
        <w:numPr>
          <w:ilvl w:val="0"/>
          <w:numId w:val="1"/>
        </w:numPr>
        <w:tabs>
          <w:tab w:val="left" w:pos="709"/>
          <w:tab w:val="left" w:pos="851"/>
        </w:tabs>
        <w:spacing w:after="0" w:line="276" w:lineRule="auto"/>
        <w:ind w:left="0" w:firstLine="567"/>
        <w:jc w:val="both"/>
        <w:rPr>
          <w:b w:val="0"/>
          <w:color w:val="000000" w:themeColor="text1"/>
          <w14:textFill>
            <w14:solidFill>
              <w14:schemeClr w14:val="tx1"/>
            </w14:solidFill>
          </w14:textFill>
        </w:rPr>
      </w:pPr>
      <w:r>
        <w:rPr>
          <w:b w:val="0"/>
          <w:lang w:eastAsia="ru-RU"/>
        </w:rPr>
        <w:t xml:space="preserve">Contabilitatea </w:t>
      </w:r>
      <w:r>
        <w:rPr>
          <w:b w:val="0"/>
          <w:bCs/>
          <w:lang w:val="en-US" w:eastAsia="ru-RU"/>
        </w:rPr>
        <w:t>I.P. Gimnaziul ,,Iurie Boghiu” din s. Flămînzeni r-nul. Sîngerei</w:t>
      </w:r>
      <w:r>
        <w:rPr>
          <w:lang w:val="en-US" w:eastAsia="ru-RU"/>
        </w:rPr>
        <w:t xml:space="preserve"> </w:t>
      </w:r>
      <w:r>
        <w:rPr>
          <w:b w:val="0"/>
          <w:lang w:eastAsia="ru-RU"/>
        </w:rPr>
        <w:t xml:space="preserve">va efectua trecerea la pierderi a mijloacelor fixe în sumă de </w:t>
      </w:r>
      <w:r>
        <w:rPr>
          <w:lang w:eastAsia="ru-RU"/>
        </w:rPr>
        <w:t>166687,14</w:t>
      </w:r>
      <w:r>
        <w:rPr>
          <w:b w:val="0"/>
          <w:lang w:eastAsia="ru-RU"/>
        </w:rPr>
        <w:t xml:space="preserve"> lei,  casate conform deciziei.</w:t>
      </w:r>
    </w:p>
    <w:p w14:paraId="71FF2354">
      <w:pPr>
        <w:pStyle w:val="27"/>
        <w:numPr>
          <w:ilvl w:val="0"/>
          <w:numId w:val="1"/>
        </w:numPr>
        <w:tabs>
          <w:tab w:val="left" w:pos="709"/>
          <w:tab w:val="left" w:pos="851"/>
        </w:tabs>
        <w:spacing w:after="0" w:line="276" w:lineRule="auto"/>
        <w:ind w:left="0" w:firstLine="567"/>
        <w:jc w:val="both"/>
        <w:rPr>
          <w:b w:val="0"/>
          <w:color w:val="000000" w:themeColor="text1"/>
          <w14:textFill>
            <w14:solidFill>
              <w14:schemeClr w14:val="tx1"/>
            </w14:solidFill>
          </w14:textFill>
        </w:rPr>
      </w:pPr>
      <w:r>
        <w:rPr>
          <w:b w:val="0"/>
          <w:color w:val="000000" w:themeColor="text1"/>
          <w14:textFill>
            <w14:solidFill>
              <w14:schemeClr w14:val="tx1"/>
            </w14:solidFill>
          </w14:textFill>
        </w:rPr>
        <w:t>Responsabil pentru realizarea deciziei în cauză se desemnează directorul instituției (d-na Cumpătă Lilia) și Vicepreședinta raionului (d-na Vera Serbușca).</w:t>
      </w:r>
    </w:p>
    <w:p w14:paraId="5DDA41E9">
      <w:pPr>
        <w:pStyle w:val="25"/>
        <w:numPr>
          <w:ilvl w:val="0"/>
          <w:numId w:val="1"/>
        </w:numPr>
        <w:tabs>
          <w:tab w:val="left" w:pos="0"/>
          <w:tab w:val="left" w:pos="709"/>
          <w:tab w:val="left" w:pos="851"/>
        </w:tabs>
        <w:spacing w:line="276" w:lineRule="auto"/>
        <w:ind w:left="0" w:firstLine="567"/>
        <w:jc w:val="both"/>
        <w:rPr>
          <w:color w:val="000000" w:themeColor="text1"/>
          <w14:textFill>
            <w14:solidFill>
              <w14:schemeClr w14:val="tx1"/>
            </w14:solidFill>
          </w14:textFill>
        </w:rPr>
      </w:pPr>
      <w:r>
        <w:rPr>
          <w:color w:val="000000" w:themeColor="text1"/>
          <w:lang w:val="ro-RO"/>
          <w14:textFill>
            <w14:solidFill>
              <w14:schemeClr w14:val="tx1"/>
            </w14:solidFill>
          </w14:textFill>
        </w:rPr>
        <w:t>Controlul asupra realizării prezentei decizii, se pune în sarcina Comisiei Consultative pentru Economie, Finanțe și Buget (dl. Nicolae Postoroncă).</w:t>
      </w:r>
    </w:p>
    <w:p w14:paraId="61BC70B7">
      <w:pPr>
        <w:pStyle w:val="25"/>
        <w:numPr>
          <w:ilvl w:val="0"/>
          <w:numId w:val="1"/>
        </w:numPr>
        <w:tabs>
          <w:tab w:val="left" w:pos="0"/>
          <w:tab w:val="left" w:pos="709"/>
          <w:tab w:val="left" w:pos="851"/>
        </w:tabs>
        <w:spacing w:line="276" w:lineRule="auto"/>
        <w:ind w:left="0" w:firstLine="567"/>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Prezenta decizie poate fi contestată la Judecătoria Bălți (sediul Central, str. Hotinului, 43) în termen de 30 zile de la data publicării, potrivit prevederilor Codului administrativ al Republicii Moldova nr. 116/2018.</w:t>
      </w:r>
    </w:p>
    <w:p w14:paraId="1EE49E95">
      <w:pPr>
        <w:pStyle w:val="27"/>
        <w:tabs>
          <w:tab w:val="left" w:pos="0"/>
          <w:tab w:val="left" w:pos="709"/>
          <w:tab w:val="left" w:pos="851"/>
          <w:tab w:val="clear" w:pos="540"/>
        </w:tabs>
        <w:spacing w:after="0" w:line="276" w:lineRule="auto"/>
        <w:jc w:val="center"/>
        <w:rPr>
          <w:b w:val="0"/>
          <w:color w:val="000000" w:themeColor="text1"/>
          <w14:textFill>
            <w14:solidFill>
              <w14:schemeClr w14:val="tx1"/>
            </w14:solidFill>
          </w14:textFill>
        </w:rPr>
      </w:pPr>
      <w:r>
        <w:t>PREŞEDINTE</w:t>
      </w:r>
    </w:p>
    <w:p w14:paraId="5F09D3C2">
      <w:pPr>
        <w:tabs>
          <w:tab w:val="left" w:pos="0"/>
        </w:tabs>
        <w:spacing w:line="276" w:lineRule="auto"/>
        <w:jc w:val="center"/>
        <w:rPr>
          <w:b/>
          <w:lang w:val="ro-RO"/>
        </w:rPr>
      </w:pPr>
      <w:r>
        <w:rPr>
          <w:b/>
          <w:lang w:val="ro-RO"/>
        </w:rPr>
        <w:t>Cristian CAINARIAN</w:t>
      </w:r>
    </w:p>
    <w:p w14:paraId="42138620">
      <w:pPr>
        <w:pStyle w:val="17"/>
        <w:tabs>
          <w:tab w:val="left" w:pos="0"/>
        </w:tabs>
        <w:spacing w:line="276" w:lineRule="auto"/>
        <w:jc w:val="center"/>
        <w:rPr>
          <w:rFonts w:ascii="Times New Roman" w:hAnsi="Times New Roman"/>
          <w:b/>
          <w:sz w:val="24"/>
          <w:szCs w:val="24"/>
          <w:lang w:val="ro-RO"/>
        </w:rPr>
      </w:pPr>
      <w:r>
        <w:rPr>
          <w:rFonts w:ascii="Times New Roman" w:hAnsi="Times New Roman"/>
          <w:b/>
          <w:sz w:val="24"/>
          <w:szCs w:val="24"/>
          <w:lang w:val="ro-RO"/>
        </w:rPr>
        <w:t>________________</w:t>
      </w:r>
    </w:p>
    <w:p w14:paraId="5BC6885A">
      <w:pPr>
        <w:pStyle w:val="17"/>
        <w:tabs>
          <w:tab w:val="left" w:pos="0"/>
        </w:tabs>
        <w:spacing w:line="276" w:lineRule="auto"/>
        <w:jc w:val="center"/>
        <w:rPr>
          <w:rFonts w:ascii="Times New Roman" w:hAnsi="Times New Roman"/>
          <w:b/>
          <w:sz w:val="24"/>
          <w:szCs w:val="24"/>
          <w:lang w:val="ro-RO"/>
        </w:rPr>
      </w:pPr>
    </w:p>
    <w:p w14:paraId="50AFE429">
      <w:pPr>
        <w:pStyle w:val="17"/>
        <w:spacing w:line="276" w:lineRule="auto"/>
        <w:ind w:hanging="2160"/>
        <w:jc w:val="both"/>
        <w:rPr>
          <w:rFonts w:ascii="Times New Roman" w:hAnsi="Times New Roman"/>
          <w:b/>
          <w:sz w:val="24"/>
          <w:szCs w:val="24"/>
          <w:lang w:val="ro-RO"/>
        </w:rPr>
      </w:pPr>
      <w:r>
        <w:rPr>
          <w:rFonts w:ascii="Times New Roman" w:hAnsi="Times New Roman"/>
          <w:b/>
          <w:sz w:val="24"/>
          <w:szCs w:val="24"/>
          <w:lang w:val="ro-RO"/>
        </w:rPr>
        <w:t xml:space="preserve">                                    CONTRASEMNEAZĂ                                                                                                   ÎNTOCMIT</w:t>
      </w:r>
    </w:p>
    <w:p w14:paraId="539AC348">
      <w:pPr>
        <w:pStyle w:val="17"/>
        <w:spacing w:line="276" w:lineRule="auto"/>
        <w:jc w:val="both"/>
        <w:rPr>
          <w:rFonts w:ascii="Times New Roman" w:hAnsi="Times New Roman"/>
          <w:b/>
          <w:sz w:val="24"/>
          <w:szCs w:val="24"/>
          <w:lang w:val="ro-RO"/>
        </w:rPr>
      </w:pPr>
      <w:r>
        <w:rPr>
          <w:rFonts w:ascii="Times New Roman" w:hAnsi="Times New Roman"/>
          <w:b/>
          <w:sz w:val="24"/>
          <w:szCs w:val="24"/>
          <w:lang w:val="ro-RO"/>
        </w:rPr>
        <w:t xml:space="preserve">SECRETARA INTERIMARĂ A                                                     </w:t>
      </w:r>
      <w:r>
        <w:rPr>
          <w:rFonts w:ascii="Times New Roman" w:hAnsi="Times New Roman"/>
          <w:b/>
          <w:bCs/>
          <w:color w:val="000000"/>
          <w:sz w:val="24"/>
          <w:szCs w:val="24"/>
        </w:rPr>
        <w:t xml:space="preserve">I.P. Gimnaziul ,,Iurie Boghiu” </w:t>
      </w:r>
    </w:p>
    <w:p w14:paraId="7C418772">
      <w:pPr>
        <w:pStyle w:val="17"/>
        <w:spacing w:line="276" w:lineRule="auto"/>
        <w:jc w:val="both"/>
        <w:rPr>
          <w:rFonts w:ascii="Times New Roman" w:hAnsi="Times New Roman"/>
          <w:b/>
          <w:sz w:val="24"/>
          <w:szCs w:val="24"/>
          <w:lang w:val="ro-RO"/>
        </w:rPr>
      </w:pPr>
      <w:r>
        <w:rPr>
          <w:rFonts w:ascii="Times New Roman" w:hAnsi="Times New Roman"/>
          <w:b/>
          <w:sz w:val="24"/>
          <w:szCs w:val="24"/>
          <w:lang w:val="ro-RO"/>
        </w:rPr>
        <w:t xml:space="preserve">Consiliului raional     </w:t>
      </w:r>
      <w:r>
        <w:rPr>
          <w:rFonts w:ascii="Times New Roman" w:hAnsi="Times New Roman"/>
          <w:sz w:val="24"/>
          <w:szCs w:val="24"/>
          <w:lang w:val="ro-RO"/>
        </w:rPr>
        <w:t xml:space="preserve">                                                                                                          Directoare</w:t>
      </w:r>
    </w:p>
    <w:p w14:paraId="5025B4A6">
      <w:pPr>
        <w:pStyle w:val="17"/>
        <w:spacing w:line="276" w:lineRule="auto"/>
        <w:jc w:val="both"/>
        <w:rPr>
          <w:rFonts w:ascii="Times New Roman" w:hAnsi="Times New Roman"/>
          <w:sz w:val="24"/>
          <w:szCs w:val="24"/>
          <w:lang w:val="ro-RO"/>
        </w:rPr>
      </w:pPr>
      <w:r>
        <w:rPr>
          <w:rFonts w:ascii="Times New Roman" w:hAnsi="Times New Roman"/>
          <w:sz w:val="24"/>
          <w:szCs w:val="24"/>
          <w:lang w:val="ro-RO"/>
        </w:rPr>
        <w:t xml:space="preserve">Angela MIHALIUC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color w:val="000000" w:themeColor="text1"/>
          <w:sz w:val="24"/>
          <w14:textFill>
            <w14:solidFill>
              <w14:schemeClr w14:val="tx1"/>
            </w14:solidFill>
          </w14:textFill>
        </w:rPr>
        <w:t>Lilia Cumpătă</w:t>
      </w:r>
    </w:p>
    <w:p w14:paraId="772B36B6">
      <w:pPr>
        <w:pStyle w:val="17"/>
        <w:spacing w:line="276" w:lineRule="auto"/>
        <w:jc w:val="both"/>
        <w:rPr>
          <w:rFonts w:ascii="Times New Roman" w:hAnsi="Times New Roman"/>
          <w:sz w:val="24"/>
          <w:szCs w:val="24"/>
          <w:lang w:val="ro-RO"/>
        </w:rPr>
      </w:pPr>
      <w:r>
        <w:rPr>
          <w:rFonts w:ascii="Times New Roman" w:hAnsi="Times New Roman"/>
          <w:sz w:val="24"/>
          <w:szCs w:val="24"/>
          <w:lang w:val="ro-RO"/>
        </w:rPr>
        <w:t xml:space="preserve">__________                                                                                                                            _______                             </w:t>
      </w:r>
    </w:p>
    <w:p w14:paraId="4C5DC858">
      <w:pPr>
        <w:pStyle w:val="17"/>
        <w:spacing w:line="276" w:lineRule="auto"/>
        <w:jc w:val="both"/>
        <w:rPr>
          <w:rFonts w:ascii="Times New Roman" w:hAnsi="Times New Roman"/>
          <w:sz w:val="24"/>
          <w:szCs w:val="24"/>
          <w:lang w:val="ro-RO"/>
        </w:rPr>
      </w:pPr>
    </w:p>
    <w:p w14:paraId="5F557F24">
      <w:pPr>
        <w:pStyle w:val="17"/>
        <w:spacing w:line="276" w:lineRule="auto"/>
        <w:jc w:val="both"/>
        <w:rPr>
          <w:rFonts w:ascii="Times New Roman" w:hAnsi="Times New Roman"/>
          <w:b/>
          <w:sz w:val="24"/>
          <w:szCs w:val="24"/>
          <w:lang w:val="ro-RO"/>
        </w:rPr>
      </w:pPr>
      <w:r>
        <w:rPr>
          <w:rFonts w:ascii="Times New Roman" w:hAnsi="Times New Roman"/>
          <w:b/>
          <w:sz w:val="24"/>
          <w:szCs w:val="24"/>
          <w:lang w:val="ro-RO"/>
        </w:rPr>
        <w:t>SUSŢINE                                                                                                                              SUSȚINE</w:t>
      </w:r>
    </w:p>
    <w:p w14:paraId="5DDE376A">
      <w:pPr>
        <w:pStyle w:val="17"/>
        <w:spacing w:line="276" w:lineRule="auto"/>
        <w:jc w:val="both"/>
        <w:rPr>
          <w:rFonts w:ascii="Times New Roman" w:hAnsi="Times New Roman"/>
          <w:b/>
          <w:sz w:val="24"/>
          <w:szCs w:val="24"/>
          <w:lang w:val="ro-RO"/>
        </w:rPr>
      </w:pPr>
      <w:r>
        <w:rPr>
          <w:rFonts w:ascii="Times New Roman" w:hAnsi="Times New Roman"/>
          <w:b/>
          <w:sz w:val="24"/>
          <w:szCs w:val="24"/>
          <w:lang w:val="ro-RO"/>
        </w:rPr>
        <w:t>SECȚIA JURIDICĂ ȘI RESURSE UMANE                        VICEPREȘEDINTA RAIONULUI</w:t>
      </w:r>
    </w:p>
    <w:p w14:paraId="616B99C4">
      <w:pPr>
        <w:pStyle w:val="17"/>
        <w:spacing w:line="276" w:lineRule="auto"/>
        <w:jc w:val="both"/>
        <w:rPr>
          <w:rFonts w:ascii="Times New Roman" w:hAnsi="Times New Roman"/>
          <w:sz w:val="24"/>
          <w:szCs w:val="24"/>
          <w:lang w:val="ro-RO"/>
        </w:rPr>
      </w:pPr>
      <w:r>
        <w:rPr>
          <w:rFonts w:ascii="Times New Roman" w:hAnsi="Times New Roman"/>
          <w:sz w:val="24"/>
          <w:szCs w:val="24"/>
          <w:lang w:val="ro-RO"/>
        </w:rPr>
        <w:t>Oxana TABARCEA                                                                                                  Vera SERBUȘCA</w:t>
      </w:r>
    </w:p>
    <w:p w14:paraId="2321FC74">
      <w:pPr>
        <w:pStyle w:val="17"/>
        <w:spacing w:line="276" w:lineRule="auto"/>
        <w:jc w:val="both"/>
        <w:rPr>
          <w:szCs w:val="36"/>
        </w:rPr>
      </w:pPr>
      <w:r>
        <w:rPr>
          <w:rFonts w:ascii="Times New Roman" w:hAnsi="Times New Roman"/>
          <w:sz w:val="24"/>
          <w:szCs w:val="24"/>
          <w:lang w:val="ro-RO"/>
        </w:rPr>
        <w:t xml:space="preserve">________________                                                                                                </w:t>
      </w:r>
      <w:r>
        <w:rPr>
          <w:rFonts w:ascii="Times New Roman" w:hAnsi="Times New Roman"/>
          <w:sz w:val="24"/>
          <w:szCs w:val="24"/>
          <w:u w:val="single"/>
          <w:lang w:val="ro-RO"/>
        </w:rPr>
        <w:tab/>
      </w:r>
      <w:r>
        <w:rPr>
          <w:rFonts w:ascii="Times New Roman" w:hAnsi="Times New Roman"/>
          <w:sz w:val="24"/>
          <w:szCs w:val="24"/>
          <w:u w:val="single"/>
          <w:lang w:val="ro-RO"/>
        </w:rPr>
        <w:tab/>
      </w:r>
      <w:r>
        <w:rPr>
          <w:rFonts w:ascii="Times New Roman" w:hAnsi="Times New Roman"/>
          <w:sz w:val="24"/>
          <w:szCs w:val="24"/>
          <w:u w:val="single"/>
          <w:lang w:val="ro-RO"/>
        </w:rPr>
        <w:tab/>
      </w:r>
    </w:p>
    <w:sectPr>
      <w:headerReference r:id="rId3" w:type="default"/>
      <w:footerReference r:id="rId4" w:type="default"/>
      <w:pgSz w:w="11910" w:h="16840"/>
      <w:pgMar w:top="425" w:right="851" w:bottom="284" w:left="1418" w:header="0" w:footer="164"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86579">
    <w:pPr>
      <w:pStyle w:val="9"/>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D82C">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03B07"/>
    <w:multiLevelType w:val="multilevel"/>
    <w:tmpl w:val="0B403B07"/>
    <w:lvl w:ilvl="0" w:tentative="0">
      <w:start w:val="1"/>
      <w:numFmt w:val="decimal"/>
      <w:lvlText w:val="%1."/>
      <w:lvlJc w:val="left"/>
      <w:pPr>
        <w:ind w:left="900" w:hanging="360"/>
      </w:pPr>
      <w:rPr>
        <w:rFonts w:hint="default"/>
        <w:b/>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063"/>
    <w:rsid w:val="000049CE"/>
    <w:rsid w:val="00007572"/>
    <w:rsid w:val="00017B2F"/>
    <w:rsid w:val="00032B74"/>
    <w:rsid w:val="00033B25"/>
    <w:rsid w:val="00034630"/>
    <w:rsid w:val="00034D85"/>
    <w:rsid w:val="000355C2"/>
    <w:rsid w:val="00042B2C"/>
    <w:rsid w:val="000431E0"/>
    <w:rsid w:val="0004791D"/>
    <w:rsid w:val="00051D0A"/>
    <w:rsid w:val="0005329E"/>
    <w:rsid w:val="00057AEE"/>
    <w:rsid w:val="000601AA"/>
    <w:rsid w:val="0006172C"/>
    <w:rsid w:val="00061C0A"/>
    <w:rsid w:val="00067CBD"/>
    <w:rsid w:val="00070CED"/>
    <w:rsid w:val="00073A71"/>
    <w:rsid w:val="00073B71"/>
    <w:rsid w:val="000742B7"/>
    <w:rsid w:val="00074540"/>
    <w:rsid w:val="0007530E"/>
    <w:rsid w:val="00083A8B"/>
    <w:rsid w:val="0008462B"/>
    <w:rsid w:val="00093DBD"/>
    <w:rsid w:val="000A0A9F"/>
    <w:rsid w:val="000A5796"/>
    <w:rsid w:val="000B1317"/>
    <w:rsid w:val="000B2958"/>
    <w:rsid w:val="000B5CAF"/>
    <w:rsid w:val="000C1276"/>
    <w:rsid w:val="000C238F"/>
    <w:rsid w:val="000C57D2"/>
    <w:rsid w:val="000C7E49"/>
    <w:rsid w:val="000D06DE"/>
    <w:rsid w:val="000D3421"/>
    <w:rsid w:val="000D6C69"/>
    <w:rsid w:val="000D7FF7"/>
    <w:rsid w:val="000E2353"/>
    <w:rsid w:val="000E26EC"/>
    <w:rsid w:val="000E4FDF"/>
    <w:rsid w:val="000E6869"/>
    <w:rsid w:val="000F1C38"/>
    <w:rsid w:val="000F1DC9"/>
    <w:rsid w:val="000F557A"/>
    <w:rsid w:val="000F7AC1"/>
    <w:rsid w:val="00104A16"/>
    <w:rsid w:val="00113115"/>
    <w:rsid w:val="00115343"/>
    <w:rsid w:val="00121D89"/>
    <w:rsid w:val="00123DBF"/>
    <w:rsid w:val="00127B81"/>
    <w:rsid w:val="001317EA"/>
    <w:rsid w:val="00134554"/>
    <w:rsid w:val="00141762"/>
    <w:rsid w:val="00147AFE"/>
    <w:rsid w:val="00150BC5"/>
    <w:rsid w:val="00154847"/>
    <w:rsid w:val="00155D11"/>
    <w:rsid w:val="00155F1A"/>
    <w:rsid w:val="00156228"/>
    <w:rsid w:val="001578EE"/>
    <w:rsid w:val="001607C2"/>
    <w:rsid w:val="00163655"/>
    <w:rsid w:val="00163C1C"/>
    <w:rsid w:val="001717E0"/>
    <w:rsid w:val="00173FB4"/>
    <w:rsid w:val="00176207"/>
    <w:rsid w:val="0018004C"/>
    <w:rsid w:val="0018134B"/>
    <w:rsid w:val="00182A8B"/>
    <w:rsid w:val="00182D6E"/>
    <w:rsid w:val="00183343"/>
    <w:rsid w:val="0018380E"/>
    <w:rsid w:val="001854E7"/>
    <w:rsid w:val="001871D2"/>
    <w:rsid w:val="0019027B"/>
    <w:rsid w:val="0019249E"/>
    <w:rsid w:val="001A6BC0"/>
    <w:rsid w:val="001A7DF5"/>
    <w:rsid w:val="001B170F"/>
    <w:rsid w:val="001B41F5"/>
    <w:rsid w:val="001C5023"/>
    <w:rsid w:val="001C6504"/>
    <w:rsid w:val="001C6C2B"/>
    <w:rsid w:val="001D5ECE"/>
    <w:rsid w:val="001D6D2D"/>
    <w:rsid w:val="001F12B6"/>
    <w:rsid w:val="001F4F34"/>
    <w:rsid w:val="001F55FA"/>
    <w:rsid w:val="001F58CF"/>
    <w:rsid w:val="001F6D39"/>
    <w:rsid w:val="0020224E"/>
    <w:rsid w:val="0020245A"/>
    <w:rsid w:val="002055B0"/>
    <w:rsid w:val="00210665"/>
    <w:rsid w:val="002155A5"/>
    <w:rsid w:val="002220BD"/>
    <w:rsid w:val="0022469E"/>
    <w:rsid w:val="00224CAB"/>
    <w:rsid w:val="0022599B"/>
    <w:rsid w:val="00230D35"/>
    <w:rsid w:val="00236763"/>
    <w:rsid w:val="002369C9"/>
    <w:rsid w:val="00240476"/>
    <w:rsid w:val="002413A2"/>
    <w:rsid w:val="00241B36"/>
    <w:rsid w:val="0024514B"/>
    <w:rsid w:val="002467D8"/>
    <w:rsid w:val="00247D0A"/>
    <w:rsid w:val="0025443C"/>
    <w:rsid w:val="002545A8"/>
    <w:rsid w:val="00254F00"/>
    <w:rsid w:val="00263016"/>
    <w:rsid w:val="002644AF"/>
    <w:rsid w:val="00264BD4"/>
    <w:rsid w:val="00265958"/>
    <w:rsid w:val="002723A8"/>
    <w:rsid w:val="00275161"/>
    <w:rsid w:val="00275FB5"/>
    <w:rsid w:val="00280B8C"/>
    <w:rsid w:val="00284B8F"/>
    <w:rsid w:val="00286A5E"/>
    <w:rsid w:val="00293164"/>
    <w:rsid w:val="002A3512"/>
    <w:rsid w:val="002A65D5"/>
    <w:rsid w:val="002A791A"/>
    <w:rsid w:val="002A7CDA"/>
    <w:rsid w:val="002B0022"/>
    <w:rsid w:val="002B1D71"/>
    <w:rsid w:val="002B2DD6"/>
    <w:rsid w:val="002B2E5E"/>
    <w:rsid w:val="002B4DC4"/>
    <w:rsid w:val="002C0CC1"/>
    <w:rsid w:val="002C1266"/>
    <w:rsid w:val="002C1468"/>
    <w:rsid w:val="002C37B6"/>
    <w:rsid w:val="002C4827"/>
    <w:rsid w:val="002C4BC3"/>
    <w:rsid w:val="002C5208"/>
    <w:rsid w:val="002C73DE"/>
    <w:rsid w:val="002D515F"/>
    <w:rsid w:val="002D79B4"/>
    <w:rsid w:val="002E114B"/>
    <w:rsid w:val="002E46C3"/>
    <w:rsid w:val="002E67B2"/>
    <w:rsid w:val="002F1D91"/>
    <w:rsid w:val="002F3E57"/>
    <w:rsid w:val="002F6174"/>
    <w:rsid w:val="0030450D"/>
    <w:rsid w:val="0030485B"/>
    <w:rsid w:val="00306E2B"/>
    <w:rsid w:val="00317AC1"/>
    <w:rsid w:val="003239BA"/>
    <w:rsid w:val="0032534D"/>
    <w:rsid w:val="00330924"/>
    <w:rsid w:val="00340A20"/>
    <w:rsid w:val="0034116A"/>
    <w:rsid w:val="00341B9E"/>
    <w:rsid w:val="0034413A"/>
    <w:rsid w:val="00344D3C"/>
    <w:rsid w:val="0034512D"/>
    <w:rsid w:val="00346C9A"/>
    <w:rsid w:val="00347065"/>
    <w:rsid w:val="00353288"/>
    <w:rsid w:val="00367B70"/>
    <w:rsid w:val="00374F2C"/>
    <w:rsid w:val="00377453"/>
    <w:rsid w:val="00382C23"/>
    <w:rsid w:val="00385063"/>
    <w:rsid w:val="00387735"/>
    <w:rsid w:val="003905D7"/>
    <w:rsid w:val="00397C4A"/>
    <w:rsid w:val="003A15A5"/>
    <w:rsid w:val="003A77B1"/>
    <w:rsid w:val="003B4121"/>
    <w:rsid w:val="003C1A8D"/>
    <w:rsid w:val="003D1764"/>
    <w:rsid w:val="003D43AE"/>
    <w:rsid w:val="003D7617"/>
    <w:rsid w:val="003E2D06"/>
    <w:rsid w:val="003E4B93"/>
    <w:rsid w:val="003E77CA"/>
    <w:rsid w:val="003E7A90"/>
    <w:rsid w:val="003F61AD"/>
    <w:rsid w:val="00405F7F"/>
    <w:rsid w:val="004060F6"/>
    <w:rsid w:val="00413FCC"/>
    <w:rsid w:val="0041745F"/>
    <w:rsid w:val="004265E6"/>
    <w:rsid w:val="004303FD"/>
    <w:rsid w:val="00431FFE"/>
    <w:rsid w:val="00433095"/>
    <w:rsid w:val="004348BE"/>
    <w:rsid w:val="004348F6"/>
    <w:rsid w:val="0043681B"/>
    <w:rsid w:val="004469B0"/>
    <w:rsid w:val="00454DBB"/>
    <w:rsid w:val="00457C5E"/>
    <w:rsid w:val="00463286"/>
    <w:rsid w:val="004670BC"/>
    <w:rsid w:val="004675AF"/>
    <w:rsid w:val="00470341"/>
    <w:rsid w:val="00481413"/>
    <w:rsid w:val="004842F8"/>
    <w:rsid w:val="004868AC"/>
    <w:rsid w:val="0048751B"/>
    <w:rsid w:val="004875B2"/>
    <w:rsid w:val="004876CE"/>
    <w:rsid w:val="00490B32"/>
    <w:rsid w:val="00494B70"/>
    <w:rsid w:val="004963D1"/>
    <w:rsid w:val="004A1D79"/>
    <w:rsid w:val="004B0699"/>
    <w:rsid w:val="004B5E53"/>
    <w:rsid w:val="004B7846"/>
    <w:rsid w:val="004C59E4"/>
    <w:rsid w:val="004C73C3"/>
    <w:rsid w:val="004D2076"/>
    <w:rsid w:val="004D4CCD"/>
    <w:rsid w:val="004D4E5E"/>
    <w:rsid w:val="004D593B"/>
    <w:rsid w:val="004E6D54"/>
    <w:rsid w:val="004E7987"/>
    <w:rsid w:val="004F0405"/>
    <w:rsid w:val="004F075B"/>
    <w:rsid w:val="004F23C0"/>
    <w:rsid w:val="004F3D41"/>
    <w:rsid w:val="004F5EDF"/>
    <w:rsid w:val="00505822"/>
    <w:rsid w:val="00506FC1"/>
    <w:rsid w:val="0051219B"/>
    <w:rsid w:val="00515033"/>
    <w:rsid w:val="00515462"/>
    <w:rsid w:val="00521940"/>
    <w:rsid w:val="00525B82"/>
    <w:rsid w:val="00530279"/>
    <w:rsid w:val="005446E5"/>
    <w:rsid w:val="00544A89"/>
    <w:rsid w:val="0054783E"/>
    <w:rsid w:val="0055111D"/>
    <w:rsid w:val="005537DA"/>
    <w:rsid w:val="00557E74"/>
    <w:rsid w:val="005620E1"/>
    <w:rsid w:val="00562C8F"/>
    <w:rsid w:val="0057083F"/>
    <w:rsid w:val="00570EDD"/>
    <w:rsid w:val="0057223C"/>
    <w:rsid w:val="00572C3D"/>
    <w:rsid w:val="00577674"/>
    <w:rsid w:val="00585FD4"/>
    <w:rsid w:val="00590202"/>
    <w:rsid w:val="005911C0"/>
    <w:rsid w:val="005935E4"/>
    <w:rsid w:val="00597EE3"/>
    <w:rsid w:val="005A0555"/>
    <w:rsid w:val="005A1469"/>
    <w:rsid w:val="005A6715"/>
    <w:rsid w:val="005A7FFD"/>
    <w:rsid w:val="005B1C19"/>
    <w:rsid w:val="005B37B4"/>
    <w:rsid w:val="005B6A18"/>
    <w:rsid w:val="005B6E22"/>
    <w:rsid w:val="005C30BC"/>
    <w:rsid w:val="005C4A57"/>
    <w:rsid w:val="005D0DA0"/>
    <w:rsid w:val="005D6C7A"/>
    <w:rsid w:val="005E29B1"/>
    <w:rsid w:val="005E2FA0"/>
    <w:rsid w:val="005E7113"/>
    <w:rsid w:val="005F2B56"/>
    <w:rsid w:val="005F433B"/>
    <w:rsid w:val="00600ACB"/>
    <w:rsid w:val="00602D59"/>
    <w:rsid w:val="00602EE8"/>
    <w:rsid w:val="006074FF"/>
    <w:rsid w:val="0060777F"/>
    <w:rsid w:val="00610601"/>
    <w:rsid w:val="00612634"/>
    <w:rsid w:val="00617F13"/>
    <w:rsid w:val="006236CF"/>
    <w:rsid w:val="00626E88"/>
    <w:rsid w:val="00627D1A"/>
    <w:rsid w:val="00630971"/>
    <w:rsid w:val="00631AB9"/>
    <w:rsid w:val="0063409D"/>
    <w:rsid w:val="00636316"/>
    <w:rsid w:val="00640ADF"/>
    <w:rsid w:val="00641148"/>
    <w:rsid w:val="006416F7"/>
    <w:rsid w:val="00642E72"/>
    <w:rsid w:val="00645585"/>
    <w:rsid w:val="00652D17"/>
    <w:rsid w:val="006533AA"/>
    <w:rsid w:val="0065658C"/>
    <w:rsid w:val="00670543"/>
    <w:rsid w:val="006712CA"/>
    <w:rsid w:val="006741B9"/>
    <w:rsid w:val="006762F3"/>
    <w:rsid w:val="006767C9"/>
    <w:rsid w:val="00677B8C"/>
    <w:rsid w:val="006850EC"/>
    <w:rsid w:val="00690047"/>
    <w:rsid w:val="00692F6E"/>
    <w:rsid w:val="00693B81"/>
    <w:rsid w:val="00694161"/>
    <w:rsid w:val="00694E8B"/>
    <w:rsid w:val="006A389B"/>
    <w:rsid w:val="006A5AAC"/>
    <w:rsid w:val="006A7FE7"/>
    <w:rsid w:val="006B002C"/>
    <w:rsid w:val="006B2A0A"/>
    <w:rsid w:val="006B3266"/>
    <w:rsid w:val="006B4F56"/>
    <w:rsid w:val="006B6ADF"/>
    <w:rsid w:val="006B7110"/>
    <w:rsid w:val="006B7603"/>
    <w:rsid w:val="006C5323"/>
    <w:rsid w:val="006D170F"/>
    <w:rsid w:val="006D26E6"/>
    <w:rsid w:val="006D6062"/>
    <w:rsid w:val="006E1D85"/>
    <w:rsid w:val="006E41CA"/>
    <w:rsid w:val="006E4B8B"/>
    <w:rsid w:val="006E7BD7"/>
    <w:rsid w:val="006E7C60"/>
    <w:rsid w:val="006F29FF"/>
    <w:rsid w:val="006F2C02"/>
    <w:rsid w:val="006F7050"/>
    <w:rsid w:val="0070167B"/>
    <w:rsid w:val="0070300B"/>
    <w:rsid w:val="007038F1"/>
    <w:rsid w:val="007063F8"/>
    <w:rsid w:val="00711373"/>
    <w:rsid w:val="007223F5"/>
    <w:rsid w:val="00724EBF"/>
    <w:rsid w:val="00732EBA"/>
    <w:rsid w:val="0073362D"/>
    <w:rsid w:val="007343EF"/>
    <w:rsid w:val="00740322"/>
    <w:rsid w:val="00742CA7"/>
    <w:rsid w:val="00744CC4"/>
    <w:rsid w:val="00745110"/>
    <w:rsid w:val="0075443A"/>
    <w:rsid w:val="00754684"/>
    <w:rsid w:val="00754D1E"/>
    <w:rsid w:val="00755A06"/>
    <w:rsid w:val="00762864"/>
    <w:rsid w:val="00762EB1"/>
    <w:rsid w:val="00764D9D"/>
    <w:rsid w:val="00765CE5"/>
    <w:rsid w:val="00772255"/>
    <w:rsid w:val="00772A4F"/>
    <w:rsid w:val="007746C5"/>
    <w:rsid w:val="00776003"/>
    <w:rsid w:val="00780B0A"/>
    <w:rsid w:val="007816B3"/>
    <w:rsid w:val="007857E4"/>
    <w:rsid w:val="00786C64"/>
    <w:rsid w:val="00787F11"/>
    <w:rsid w:val="00790D9D"/>
    <w:rsid w:val="0079307B"/>
    <w:rsid w:val="0079531B"/>
    <w:rsid w:val="007A28DD"/>
    <w:rsid w:val="007B01E8"/>
    <w:rsid w:val="007B0291"/>
    <w:rsid w:val="007B304B"/>
    <w:rsid w:val="007B357E"/>
    <w:rsid w:val="007B63DC"/>
    <w:rsid w:val="007B7813"/>
    <w:rsid w:val="007C1E0B"/>
    <w:rsid w:val="007C2216"/>
    <w:rsid w:val="007C46B5"/>
    <w:rsid w:val="007C4B64"/>
    <w:rsid w:val="007D5573"/>
    <w:rsid w:val="007D5905"/>
    <w:rsid w:val="007D6DC4"/>
    <w:rsid w:val="007D744A"/>
    <w:rsid w:val="007E33EC"/>
    <w:rsid w:val="007E3E16"/>
    <w:rsid w:val="007E5115"/>
    <w:rsid w:val="007E7123"/>
    <w:rsid w:val="007F3156"/>
    <w:rsid w:val="007F43D4"/>
    <w:rsid w:val="007F6836"/>
    <w:rsid w:val="007F7658"/>
    <w:rsid w:val="00800D19"/>
    <w:rsid w:val="00802EA3"/>
    <w:rsid w:val="00803CDF"/>
    <w:rsid w:val="008054EB"/>
    <w:rsid w:val="0081565B"/>
    <w:rsid w:val="008162BC"/>
    <w:rsid w:val="008233F9"/>
    <w:rsid w:val="00824BEB"/>
    <w:rsid w:val="00825821"/>
    <w:rsid w:val="00825BC3"/>
    <w:rsid w:val="00825F72"/>
    <w:rsid w:val="0082697A"/>
    <w:rsid w:val="00826FD7"/>
    <w:rsid w:val="00831F1B"/>
    <w:rsid w:val="008342FD"/>
    <w:rsid w:val="008352AC"/>
    <w:rsid w:val="0083779A"/>
    <w:rsid w:val="00845BC0"/>
    <w:rsid w:val="008469D6"/>
    <w:rsid w:val="00860C5D"/>
    <w:rsid w:val="00862421"/>
    <w:rsid w:val="0086263E"/>
    <w:rsid w:val="00862E14"/>
    <w:rsid w:val="00863CBC"/>
    <w:rsid w:val="00867E4A"/>
    <w:rsid w:val="0087173E"/>
    <w:rsid w:val="008719FD"/>
    <w:rsid w:val="00874838"/>
    <w:rsid w:val="00874E05"/>
    <w:rsid w:val="008770BD"/>
    <w:rsid w:val="0088094A"/>
    <w:rsid w:val="00881B57"/>
    <w:rsid w:val="00884B47"/>
    <w:rsid w:val="00885D6B"/>
    <w:rsid w:val="00885F56"/>
    <w:rsid w:val="00893979"/>
    <w:rsid w:val="008A18A4"/>
    <w:rsid w:val="008A3F3E"/>
    <w:rsid w:val="008A4051"/>
    <w:rsid w:val="008A47AD"/>
    <w:rsid w:val="008A720D"/>
    <w:rsid w:val="008A7B16"/>
    <w:rsid w:val="008B1662"/>
    <w:rsid w:val="008C08C4"/>
    <w:rsid w:val="008C3C28"/>
    <w:rsid w:val="008C3D84"/>
    <w:rsid w:val="008C3F08"/>
    <w:rsid w:val="008C44DE"/>
    <w:rsid w:val="008C7D1B"/>
    <w:rsid w:val="008D3096"/>
    <w:rsid w:val="008D358E"/>
    <w:rsid w:val="008D4279"/>
    <w:rsid w:val="008E0537"/>
    <w:rsid w:val="008E4BB2"/>
    <w:rsid w:val="008E5880"/>
    <w:rsid w:val="008E59AF"/>
    <w:rsid w:val="008F0A30"/>
    <w:rsid w:val="008F0B1E"/>
    <w:rsid w:val="00901992"/>
    <w:rsid w:val="0090263C"/>
    <w:rsid w:val="00905CCD"/>
    <w:rsid w:val="009126FD"/>
    <w:rsid w:val="00916AFD"/>
    <w:rsid w:val="00927E41"/>
    <w:rsid w:val="00931B5C"/>
    <w:rsid w:val="00931EFA"/>
    <w:rsid w:val="0093425A"/>
    <w:rsid w:val="00934960"/>
    <w:rsid w:val="0093509A"/>
    <w:rsid w:val="00945A74"/>
    <w:rsid w:val="00947AA6"/>
    <w:rsid w:val="009533E7"/>
    <w:rsid w:val="009550F7"/>
    <w:rsid w:val="009552BD"/>
    <w:rsid w:val="009612BA"/>
    <w:rsid w:val="00963CCA"/>
    <w:rsid w:val="00967F2F"/>
    <w:rsid w:val="00970A98"/>
    <w:rsid w:val="009717FE"/>
    <w:rsid w:val="00976161"/>
    <w:rsid w:val="00976551"/>
    <w:rsid w:val="00976E3D"/>
    <w:rsid w:val="00980106"/>
    <w:rsid w:val="00983C6A"/>
    <w:rsid w:val="00986826"/>
    <w:rsid w:val="00991B9D"/>
    <w:rsid w:val="00994E79"/>
    <w:rsid w:val="009A2F5C"/>
    <w:rsid w:val="009A579B"/>
    <w:rsid w:val="009B2714"/>
    <w:rsid w:val="009B2DCA"/>
    <w:rsid w:val="009B3230"/>
    <w:rsid w:val="009B373B"/>
    <w:rsid w:val="009B6A73"/>
    <w:rsid w:val="009C0808"/>
    <w:rsid w:val="009C243C"/>
    <w:rsid w:val="009C533F"/>
    <w:rsid w:val="009C6E30"/>
    <w:rsid w:val="009D27CD"/>
    <w:rsid w:val="009D2E83"/>
    <w:rsid w:val="009D45A1"/>
    <w:rsid w:val="009E26F3"/>
    <w:rsid w:val="009E6C69"/>
    <w:rsid w:val="009F3755"/>
    <w:rsid w:val="009F4573"/>
    <w:rsid w:val="009F585C"/>
    <w:rsid w:val="00A00A43"/>
    <w:rsid w:val="00A021DB"/>
    <w:rsid w:val="00A0231D"/>
    <w:rsid w:val="00A07D68"/>
    <w:rsid w:val="00A10977"/>
    <w:rsid w:val="00A11A43"/>
    <w:rsid w:val="00A13A9C"/>
    <w:rsid w:val="00A147E8"/>
    <w:rsid w:val="00A16AB2"/>
    <w:rsid w:val="00A17A60"/>
    <w:rsid w:val="00A21BDC"/>
    <w:rsid w:val="00A223D8"/>
    <w:rsid w:val="00A27836"/>
    <w:rsid w:val="00A31807"/>
    <w:rsid w:val="00A324C1"/>
    <w:rsid w:val="00A328ED"/>
    <w:rsid w:val="00A329DE"/>
    <w:rsid w:val="00A3358A"/>
    <w:rsid w:val="00A41FB7"/>
    <w:rsid w:val="00A42610"/>
    <w:rsid w:val="00A50387"/>
    <w:rsid w:val="00A52D20"/>
    <w:rsid w:val="00A56F90"/>
    <w:rsid w:val="00A60391"/>
    <w:rsid w:val="00A614BB"/>
    <w:rsid w:val="00A644DE"/>
    <w:rsid w:val="00A75DD3"/>
    <w:rsid w:val="00A80767"/>
    <w:rsid w:val="00A80A53"/>
    <w:rsid w:val="00A873BC"/>
    <w:rsid w:val="00A936C3"/>
    <w:rsid w:val="00A97D76"/>
    <w:rsid w:val="00AA4206"/>
    <w:rsid w:val="00AA7862"/>
    <w:rsid w:val="00AB158E"/>
    <w:rsid w:val="00AB5A5B"/>
    <w:rsid w:val="00AB6D11"/>
    <w:rsid w:val="00AC67F9"/>
    <w:rsid w:val="00AC6F25"/>
    <w:rsid w:val="00AD25C4"/>
    <w:rsid w:val="00AE3BE6"/>
    <w:rsid w:val="00AE4C8C"/>
    <w:rsid w:val="00AE5EED"/>
    <w:rsid w:val="00AE75B2"/>
    <w:rsid w:val="00AE7BD6"/>
    <w:rsid w:val="00AF68BF"/>
    <w:rsid w:val="00AF796E"/>
    <w:rsid w:val="00B009B3"/>
    <w:rsid w:val="00B01EB4"/>
    <w:rsid w:val="00B02CA6"/>
    <w:rsid w:val="00B0700D"/>
    <w:rsid w:val="00B10090"/>
    <w:rsid w:val="00B1168F"/>
    <w:rsid w:val="00B14CB2"/>
    <w:rsid w:val="00B14E79"/>
    <w:rsid w:val="00B168CA"/>
    <w:rsid w:val="00B173CB"/>
    <w:rsid w:val="00B22119"/>
    <w:rsid w:val="00B237DB"/>
    <w:rsid w:val="00B250BC"/>
    <w:rsid w:val="00B2514B"/>
    <w:rsid w:val="00B30A66"/>
    <w:rsid w:val="00B31D07"/>
    <w:rsid w:val="00B3262C"/>
    <w:rsid w:val="00B328B6"/>
    <w:rsid w:val="00B32A67"/>
    <w:rsid w:val="00B414E3"/>
    <w:rsid w:val="00B439E4"/>
    <w:rsid w:val="00B443E5"/>
    <w:rsid w:val="00B4465A"/>
    <w:rsid w:val="00B44D94"/>
    <w:rsid w:val="00B45D74"/>
    <w:rsid w:val="00B51EDD"/>
    <w:rsid w:val="00B62B16"/>
    <w:rsid w:val="00B633DE"/>
    <w:rsid w:val="00B65F3E"/>
    <w:rsid w:val="00B67FDA"/>
    <w:rsid w:val="00B70433"/>
    <w:rsid w:val="00B704F5"/>
    <w:rsid w:val="00B7177C"/>
    <w:rsid w:val="00B731CE"/>
    <w:rsid w:val="00B74880"/>
    <w:rsid w:val="00B83376"/>
    <w:rsid w:val="00B869E5"/>
    <w:rsid w:val="00B87D43"/>
    <w:rsid w:val="00B90B81"/>
    <w:rsid w:val="00B91DD3"/>
    <w:rsid w:val="00BA4F11"/>
    <w:rsid w:val="00BA6678"/>
    <w:rsid w:val="00BA7DFF"/>
    <w:rsid w:val="00BB057C"/>
    <w:rsid w:val="00BB3720"/>
    <w:rsid w:val="00BB507A"/>
    <w:rsid w:val="00BB640C"/>
    <w:rsid w:val="00BB6AF8"/>
    <w:rsid w:val="00BC11CE"/>
    <w:rsid w:val="00BC43F4"/>
    <w:rsid w:val="00BD0812"/>
    <w:rsid w:val="00BD7254"/>
    <w:rsid w:val="00BE17FD"/>
    <w:rsid w:val="00BE321A"/>
    <w:rsid w:val="00BF351F"/>
    <w:rsid w:val="00C00492"/>
    <w:rsid w:val="00C04411"/>
    <w:rsid w:val="00C0502B"/>
    <w:rsid w:val="00C0752E"/>
    <w:rsid w:val="00C11917"/>
    <w:rsid w:val="00C146D0"/>
    <w:rsid w:val="00C14F4B"/>
    <w:rsid w:val="00C20299"/>
    <w:rsid w:val="00C204B3"/>
    <w:rsid w:val="00C21837"/>
    <w:rsid w:val="00C41CAD"/>
    <w:rsid w:val="00C4252B"/>
    <w:rsid w:val="00C426F9"/>
    <w:rsid w:val="00C42E61"/>
    <w:rsid w:val="00C43035"/>
    <w:rsid w:val="00C459AF"/>
    <w:rsid w:val="00C470C8"/>
    <w:rsid w:val="00C50A03"/>
    <w:rsid w:val="00C50FA6"/>
    <w:rsid w:val="00C5422A"/>
    <w:rsid w:val="00C54AB6"/>
    <w:rsid w:val="00C56D4F"/>
    <w:rsid w:val="00C622DC"/>
    <w:rsid w:val="00C635EE"/>
    <w:rsid w:val="00C736BF"/>
    <w:rsid w:val="00C7390B"/>
    <w:rsid w:val="00C74AEC"/>
    <w:rsid w:val="00C77D7A"/>
    <w:rsid w:val="00C8233F"/>
    <w:rsid w:val="00C84935"/>
    <w:rsid w:val="00C86EE5"/>
    <w:rsid w:val="00C91EBA"/>
    <w:rsid w:val="00C97A7D"/>
    <w:rsid w:val="00CA21A7"/>
    <w:rsid w:val="00CA2237"/>
    <w:rsid w:val="00CA293C"/>
    <w:rsid w:val="00CA6A6D"/>
    <w:rsid w:val="00CA6F3D"/>
    <w:rsid w:val="00CB031F"/>
    <w:rsid w:val="00CB0F3B"/>
    <w:rsid w:val="00CB2224"/>
    <w:rsid w:val="00CB3A47"/>
    <w:rsid w:val="00CB3CC5"/>
    <w:rsid w:val="00CB409A"/>
    <w:rsid w:val="00CC0960"/>
    <w:rsid w:val="00CC3AE6"/>
    <w:rsid w:val="00CC578A"/>
    <w:rsid w:val="00CD0DCB"/>
    <w:rsid w:val="00CD2C3F"/>
    <w:rsid w:val="00CD2FCF"/>
    <w:rsid w:val="00CD4924"/>
    <w:rsid w:val="00CE070A"/>
    <w:rsid w:val="00CE34EE"/>
    <w:rsid w:val="00CE3714"/>
    <w:rsid w:val="00CE3BB2"/>
    <w:rsid w:val="00CE50CF"/>
    <w:rsid w:val="00CE65FF"/>
    <w:rsid w:val="00CE6869"/>
    <w:rsid w:val="00CF13BA"/>
    <w:rsid w:val="00CF1E6C"/>
    <w:rsid w:val="00CF22AA"/>
    <w:rsid w:val="00CF2895"/>
    <w:rsid w:val="00CF42E9"/>
    <w:rsid w:val="00CF4F4B"/>
    <w:rsid w:val="00CF5899"/>
    <w:rsid w:val="00CF64A3"/>
    <w:rsid w:val="00CF6BF5"/>
    <w:rsid w:val="00D0094F"/>
    <w:rsid w:val="00D01EF6"/>
    <w:rsid w:val="00D0410B"/>
    <w:rsid w:val="00D1141D"/>
    <w:rsid w:val="00D11A1B"/>
    <w:rsid w:val="00D20EC6"/>
    <w:rsid w:val="00D26625"/>
    <w:rsid w:val="00D26F1E"/>
    <w:rsid w:val="00D317ED"/>
    <w:rsid w:val="00D334AC"/>
    <w:rsid w:val="00D34A29"/>
    <w:rsid w:val="00D362BE"/>
    <w:rsid w:val="00D40CC1"/>
    <w:rsid w:val="00D42295"/>
    <w:rsid w:val="00D42B64"/>
    <w:rsid w:val="00D454FD"/>
    <w:rsid w:val="00D4563C"/>
    <w:rsid w:val="00D53746"/>
    <w:rsid w:val="00D54F78"/>
    <w:rsid w:val="00D57AAE"/>
    <w:rsid w:val="00D57ADA"/>
    <w:rsid w:val="00D60674"/>
    <w:rsid w:val="00D607E5"/>
    <w:rsid w:val="00D6248C"/>
    <w:rsid w:val="00D6396A"/>
    <w:rsid w:val="00D63BB5"/>
    <w:rsid w:val="00D651E3"/>
    <w:rsid w:val="00D65324"/>
    <w:rsid w:val="00D74B8B"/>
    <w:rsid w:val="00D76DCD"/>
    <w:rsid w:val="00D85547"/>
    <w:rsid w:val="00D86647"/>
    <w:rsid w:val="00D873D4"/>
    <w:rsid w:val="00D87BED"/>
    <w:rsid w:val="00D90015"/>
    <w:rsid w:val="00D90E02"/>
    <w:rsid w:val="00DA152A"/>
    <w:rsid w:val="00DA378E"/>
    <w:rsid w:val="00DA454F"/>
    <w:rsid w:val="00DB01BF"/>
    <w:rsid w:val="00DB122C"/>
    <w:rsid w:val="00DB29EB"/>
    <w:rsid w:val="00DB3941"/>
    <w:rsid w:val="00DC5E5E"/>
    <w:rsid w:val="00DC6666"/>
    <w:rsid w:val="00DD7E3D"/>
    <w:rsid w:val="00DE15D1"/>
    <w:rsid w:val="00DE17A8"/>
    <w:rsid w:val="00DE2AE8"/>
    <w:rsid w:val="00DE6478"/>
    <w:rsid w:val="00DE6570"/>
    <w:rsid w:val="00DF14E0"/>
    <w:rsid w:val="00DF343B"/>
    <w:rsid w:val="00DF4A38"/>
    <w:rsid w:val="00DF6E6B"/>
    <w:rsid w:val="00DF7520"/>
    <w:rsid w:val="00E00869"/>
    <w:rsid w:val="00E06311"/>
    <w:rsid w:val="00E14DB6"/>
    <w:rsid w:val="00E20309"/>
    <w:rsid w:val="00E25C92"/>
    <w:rsid w:val="00E30E80"/>
    <w:rsid w:val="00E34353"/>
    <w:rsid w:val="00E3548C"/>
    <w:rsid w:val="00E376D5"/>
    <w:rsid w:val="00E41320"/>
    <w:rsid w:val="00E42CE2"/>
    <w:rsid w:val="00E524CD"/>
    <w:rsid w:val="00E52BEA"/>
    <w:rsid w:val="00E5625D"/>
    <w:rsid w:val="00E56EB8"/>
    <w:rsid w:val="00E61474"/>
    <w:rsid w:val="00E63A0C"/>
    <w:rsid w:val="00E70EE5"/>
    <w:rsid w:val="00E8321F"/>
    <w:rsid w:val="00E87C00"/>
    <w:rsid w:val="00E915C5"/>
    <w:rsid w:val="00E9185E"/>
    <w:rsid w:val="00E9269A"/>
    <w:rsid w:val="00E93D79"/>
    <w:rsid w:val="00E959D4"/>
    <w:rsid w:val="00EA1B96"/>
    <w:rsid w:val="00EA456B"/>
    <w:rsid w:val="00EB13CF"/>
    <w:rsid w:val="00EB2298"/>
    <w:rsid w:val="00EB2FF0"/>
    <w:rsid w:val="00EC180A"/>
    <w:rsid w:val="00EC2EEB"/>
    <w:rsid w:val="00EC3752"/>
    <w:rsid w:val="00EC4D3A"/>
    <w:rsid w:val="00EC77E4"/>
    <w:rsid w:val="00ED0175"/>
    <w:rsid w:val="00ED2141"/>
    <w:rsid w:val="00ED27AD"/>
    <w:rsid w:val="00ED2B0A"/>
    <w:rsid w:val="00ED2E07"/>
    <w:rsid w:val="00ED4A76"/>
    <w:rsid w:val="00EE3D3C"/>
    <w:rsid w:val="00EF1B28"/>
    <w:rsid w:val="00EF3FED"/>
    <w:rsid w:val="00EF4D09"/>
    <w:rsid w:val="00F01225"/>
    <w:rsid w:val="00F035F7"/>
    <w:rsid w:val="00F03E16"/>
    <w:rsid w:val="00F0742B"/>
    <w:rsid w:val="00F07574"/>
    <w:rsid w:val="00F07B9C"/>
    <w:rsid w:val="00F1188F"/>
    <w:rsid w:val="00F17741"/>
    <w:rsid w:val="00F23DF3"/>
    <w:rsid w:val="00F24003"/>
    <w:rsid w:val="00F3034D"/>
    <w:rsid w:val="00F33370"/>
    <w:rsid w:val="00F365B9"/>
    <w:rsid w:val="00F435F2"/>
    <w:rsid w:val="00F43F3A"/>
    <w:rsid w:val="00F463FC"/>
    <w:rsid w:val="00F52004"/>
    <w:rsid w:val="00F54894"/>
    <w:rsid w:val="00F6070B"/>
    <w:rsid w:val="00F6091D"/>
    <w:rsid w:val="00F61C83"/>
    <w:rsid w:val="00F635C6"/>
    <w:rsid w:val="00F665F5"/>
    <w:rsid w:val="00F70D6B"/>
    <w:rsid w:val="00F73010"/>
    <w:rsid w:val="00F77283"/>
    <w:rsid w:val="00F80BE2"/>
    <w:rsid w:val="00F81468"/>
    <w:rsid w:val="00F84F85"/>
    <w:rsid w:val="00F9008A"/>
    <w:rsid w:val="00F95820"/>
    <w:rsid w:val="00F96D4F"/>
    <w:rsid w:val="00FA4606"/>
    <w:rsid w:val="00FA4B0B"/>
    <w:rsid w:val="00FA5B68"/>
    <w:rsid w:val="00FA617E"/>
    <w:rsid w:val="00FB2CED"/>
    <w:rsid w:val="00FB3A6C"/>
    <w:rsid w:val="00FB61AF"/>
    <w:rsid w:val="00FB6875"/>
    <w:rsid w:val="00FC0A7F"/>
    <w:rsid w:val="00FD2503"/>
    <w:rsid w:val="00FD520F"/>
    <w:rsid w:val="00FD589A"/>
    <w:rsid w:val="00FD6053"/>
    <w:rsid w:val="00FE30B2"/>
    <w:rsid w:val="00FE6C54"/>
    <w:rsid w:val="00FF2794"/>
    <w:rsid w:val="322D1D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outlineLvl w:val="0"/>
    </w:pPr>
    <w:rPr>
      <w:b/>
      <w:sz w:val="28"/>
      <w:szCs w:val="20"/>
      <w:lang w:val="en-US"/>
    </w:rPr>
  </w:style>
  <w:style w:type="paragraph" w:styleId="3">
    <w:name w:val="heading 5"/>
    <w:basedOn w:val="1"/>
    <w:next w:val="1"/>
    <w:qFormat/>
    <w:uiPriority w:val="0"/>
    <w:pPr>
      <w:spacing w:before="240" w:after="60"/>
      <w:outlineLvl w:val="4"/>
    </w:pPr>
    <w:rPr>
      <w:b/>
      <w:bCs/>
      <w:i/>
      <w:iCs/>
      <w:sz w:val="26"/>
      <w:szCs w:val="26"/>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qFormat/>
    <w:uiPriority w:val="0"/>
    <w:rPr>
      <w:color w:val="0000FF"/>
      <w:u w:val="single"/>
    </w:rPr>
  </w:style>
  <w:style w:type="paragraph" w:styleId="7">
    <w:name w:val="Balloon Text"/>
    <w:basedOn w:val="1"/>
    <w:link w:val="19"/>
    <w:qFormat/>
    <w:uiPriority w:val="0"/>
    <w:rPr>
      <w:rFonts w:ascii="Tahoma" w:hAnsi="Tahoma" w:cs="Tahoma"/>
      <w:sz w:val="16"/>
      <w:szCs w:val="16"/>
    </w:rPr>
  </w:style>
  <w:style w:type="paragraph" w:styleId="8">
    <w:name w:val="header"/>
    <w:basedOn w:val="1"/>
    <w:link w:val="14"/>
    <w:qFormat/>
    <w:uiPriority w:val="0"/>
    <w:pPr>
      <w:tabs>
        <w:tab w:val="center" w:pos="4677"/>
        <w:tab w:val="right" w:pos="9355"/>
      </w:tabs>
    </w:pPr>
  </w:style>
  <w:style w:type="paragraph" w:styleId="9">
    <w:name w:val="Body Text"/>
    <w:basedOn w:val="1"/>
    <w:link w:val="23"/>
    <w:semiHidden/>
    <w:unhideWhenUsed/>
    <w:uiPriority w:val="0"/>
    <w:pPr>
      <w:spacing w:after="120"/>
    </w:pPr>
  </w:style>
  <w:style w:type="paragraph" w:styleId="10">
    <w:name w:val="Body Text Indent"/>
    <w:basedOn w:val="1"/>
    <w:qFormat/>
    <w:uiPriority w:val="0"/>
    <w:pPr>
      <w:ind w:firstLine="360"/>
    </w:pPr>
    <w:rPr>
      <w:lang w:val="ro-RO"/>
    </w:rPr>
  </w:style>
  <w:style w:type="paragraph" w:styleId="11">
    <w:name w:val="footer"/>
    <w:basedOn w:val="1"/>
    <w:link w:val="15"/>
    <w:qFormat/>
    <w:uiPriority w:val="0"/>
    <w:pPr>
      <w:tabs>
        <w:tab w:val="center" w:pos="4677"/>
        <w:tab w:val="right" w:pos="9355"/>
      </w:tabs>
    </w:pPr>
  </w:style>
  <w:style w:type="table" w:styleId="12">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apple-converted-space"/>
    <w:basedOn w:val="4"/>
    <w:qFormat/>
    <w:uiPriority w:val="0"/>
  </w:style>
  <w:style w:type="character" w:customStyle="1" w:styleId="14">
    <w:name w:val="Верхний колонтитул Знак"/>
    <w:basedOn w:val="4"/>
    <w:link w:val="8"/>
    <w:qFormat/>
    <w:uiPriority w:val="0"/>
    <w:rPr>
      <w:sz w:val="24"/>
      <w:szCs w:val="24"/>
    </w:rPr>
  </w:style>
  <w:style w:type="character" w:customStyle="1" w:styleId="15">
    <w:name w:val="Нижний колонтитул Знак"/>
    <w:basedOn w:val="4"/>
    <w:link w:val="11"/>
    <w:qFormat/>
    <w:uiPriority w:val="0"/>
    <w:rPr>
      <w:sz w:val="24"/>
      <w:szCs w:val="24"/>
    </w:rPr>
  </w:style>
  <w:style w:type="character" w:customStyle="1" w:styleId="16">
    <w:name w:val="doc_header"/>
    <w:basedOn w:val="4"/>
    <w:qFormat/>
    <w:uiPriority w:val="0"/>
  </w:style>
  <w:style w:type="paragraph" w:customStyle="1" w:styleId="17">
    <w:name w:val="Без интервала1"/>
    <w:link w:val="26"/>
    <w:uiPriority w:val="0"/>
    <w:rPr>
      <w:rFonts w:ascii="Calibri" w:hAnsi="Calibri" w:eastAsia="Calibri" w:cs="Times New Roman"/>
      <w:sz w:val="22"/>
      <w:szCs w:val="22"/>
      <w:lang w:val="en-US" w:eastAsia="en-US" w:bidi="ar-SA"/>
    </w:rPr>
  </w:style>
  <w:style w:type="paragraph" w:customStyle="1" w:styleId="18">
    <w:name w:val="msonormalcxspmiddle"/>
    <w:basedOn w:val="1"/>
    <w:uiPriority w:val="0"/>
    <w:pPr>
      <w:spacing w:before="100" w:beforeAutospacing="1" w:after="100" w:afterAutospacing="1"/>
    </w:pPr>
  </w:style>
  <w:style w:type="character" w:customStyle="1" w:styleId="19">
    <w:name w:val="Текст выноски Знак"/>
    <w:basedOn w:val="4"/>
    <w:link w:val="7"/>
    <w:qFormat/>
    <w:uiPriority w:val="0"/>
    <w:rPr>
      <w:rFonts w:ascii="Tahoma" w:hAnsi="Tahoma" w:cs="Tahoma"/>
      <w:sz w:val="16"/>
      <w:szCs w:val="16"/>
    </w:rPr>
  </w:style>
  <w:style w:type="table" w:customStyle="1" w:styleId="20">
    <w:name w:val="Table Normal"/>
    <w:semiHidden/>
    <w:unhideWhenUsed/>
    <w:qFormat/>
    <w:uiPriority w:val="2"/>
    <w:pPr>
      <w:widowControl w:val="0"/>
      <w:autoSpaceDE w:val="0"/>
      <w:autoSpaceDN w:val="0"/>
    </w:pPr>
    <w:rPr>
      <w:rFonts w:ascii="Calibri" w:hAnsi="Calibri" w:eastAsia="Calibri"/>
      <w:sz w:val="22"/>
      <w:szCs w:val="22"/>
      <w:lang w:val="en-US" w:eastAsia="en-US"/>
    </w:rPr>
    <w:tblPr>
      <w:tblCellMar>
        <w:top w:w="0" w:type="dxa"/>
        <w:left w:w="0" w:type="dxa"/>
        <w:bottom w:w="0" w:type="dxa"/>
        <w:right w:w="0" w:type="dxa"/>
      </w:tblCellMar>
    </w:tblPr>
  </w:style>
  <w:style w:type="table" w:customStyle="1" w:styleId="21">
    <w:name w:val="Table Normal1"/>
    <w:semiHidden/>
    <w:unhideWhenUsed/>
    <w:qFormat/>
    <w:uiPriority w:val="2"/>
    <w:pPr>
      <w:widowControl w:val="0"/>
      <w:autoSpaceDE w:val="0"/>
      <w:autoSpaceDN w:val="0"/>
    </w:pPr>
    <w:rPr>
      <w:rFonts w:asciiTheme="minorHAnsi" w:hAnsiTheme="minorHAnsi" w:eastAsiaTheme="minorHAnsi" w:cstheme="minorBidi"/>
      <w:sz w:val="22"/>
      <w:szCs w:val="22"/>
      <w:lang w:val="en-US" w:eastAsia="en-US"/>
    </w:rPr>
    <w:tblPr>
      <w:tblCellMar>
        <w:top w:w="0" w:type="dxa"/>
        <w:left w:w="0" w:type="dxa"/>
        <w:bottom w:w="0" w:type="dxa"/>
        <w:right w:w="0" w:type="dxa"/>
      </w:tblCellMar>
    </w:tblPr>
  </w:style>
  <w:style w:type="paragraph" w:customStyle="1" w:styleId="22">
    <w:name w:val="Table Paragraph"/>
    <w:basedOn w:val="1"/>
    <w:qFormat/>
    <w:uiPriority w:val="1"/>
    <w:pPr>
      <w:widowControl w:val="0"/>
      <w:autoSpaceDE w:val="0"/>
      <w:autoSpaceDN w:val="0"/>
      <w:spacing w:before="24"/>
    </w:pPr>
    <w:rPr>
      <w:sz w:val="22"/>
      <w:szCs w:val="22"/>
      <w:lang w:val="ro-RO" w:eastAsia="en-US"/>
    </w:rPr>
  </w:style>
  <w:style w:type="character" w:customStyle="1" w:styleId="23">
    <w:name w:val="Основной текст Знак"/>
    <w:basedOn w:val="4"/>
    <w:link w:val="9"/>
    <w:semiHidden/>
    <w:uiPriority w:val="0"/>
    <w:rPr>
      <w:sz w:val="24"/>
      <w:szCs w:val="24"/>
    </w:rPr>
  </w:style>
  <w:style w:type="table" w:customStyle="1" w:styleId="24">
    <w:name w:val="Table Normal2"/>
    <w:semiHidden/>
    <w:unhideWhenUsed/>
    <w:qFormat/>
    <w:uiPriority w:val="2"/>
    <w:pPr>
      <w:widowControl w:val="0"/>
      <w:autoSpaceDE w:val="0"/>
      <w:autoSpaceDN w:val="0"/>
    </w:pPr>
    <w:rPr>
      <w:rFonts w:ascii="Calibri" w:hAnsi="Calibri" w:eastAsia="Calibri"/>
      <w:sz w:val="22"/>
      <w:szCs w:val="22"/>
      <w:lang w:val="en-US" w:eastAsia="en-US"/>
    </w:rPr>
    <w:tblPr>
      <w:tblCellMar>
        <w:top w:w="0" w:type="dxa"/>
        <w:left w:w="0" w:type="dxa"/>
        <w:bottom w:w="0" w:type="dxa"/>
        <w:right w:w="0" w:type="dxa"/>
      </w:tblCellMar>
    </w:tblPr>
  </w:style>
  <w:style w:type="paragraph" w:styleId="25">
    <w:name w:val="List Paragraph"/>
    <w:basedOn w:val="1"/>
    <w:qFormat/>
    <w:uiPriority w:val="34"/>
    <w:pPr>
      <w:ind w:left="720"/>
      <w:contextualSpacing/>
    </w:pPr>
  </w:style>
  <w:style w:type="character" w:customStyle="1" w:styleId="26">
    <w:name w:val="No Spacing Char"/>
    <w:link w:val="17"/>
    <w:locked/>
    <w:uiPriority w:val="0"/>
    <w:rPr>
      <w:rFonts w:ascii="Calibri" w:hAnsi="Calibri" w:eastAsia="Calibri"/>
      <w:sz w:val="22"/>
      <w:szCs w:val="22"/>
      <w:lang w:val="en-US" w:eastAsia="en-US"/>
    </w:rPr>
  </w:style>
  <w:style w:type="paragraph" w:customStyle="1" w:styleId="27">
    <w:name w:val="Обычный по ширне"/>
    <w:basedOn w:val="1"/>
    <w:uiPriority w:val="0"/>
    <w:pPr>
      <w:tabs>
        <w:tab w:val="left" w:pos="540"/>
      </w:tabs>
      <w:spacing w:after="160"/>
    </w:pPr>
    <w:rPr>
      <w:b/>
      <w:lang w:val="ro-RO"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577B-924F-4078-B0FF-9ECEE23DAE76}">
  <ds:schemaRefs/>
</ds:datastoreItem>
</file>

<file path=docProps/app.xml><?xml version="1.0" encoding="utf-8"?>
<Properties xmlns="http://schemas.openxmlformats.org/officeDocument/2006/extended-properties" xmlns:vt="http://schemas.openxmlformats.org/officeDocument/2006/docPropsVTypes">
  <Template>Normal</Template>
  <Company>RePack by SPecialiST</Company>
  <Pages>2</Pages>
  <Words>695</Words>
  <Characters>4496</Characters>
  <Lines>46</Lines>
  <Paragraphs>13</Paragraphs>
  <TotalTime>1</TotalTime>
  <ScaleCrop>false</ScaleCrop>
  <LinksUpToDate>false</LinksUpToDate>
  <CharactersWithSpaces>6478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2026-09-11T08:39:00Z</dcterms:created>
  <dc:creator>user</dc:creator>
  <cp:lastModifiedBy>Iulian Erimei</cp:lastModifiedBy>
  <cp:lastPrinted>2025-02-24T09:03:00Z</cp:lastPrinted>
  <dcterms:modified xsi:type="dcterms:W3CDTF">2026-09-14T06:04:42Z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eyJoZGlkIjoiYTk3OTkxZmVhYmRiZDZiNDlmYWFlZjM0NTJlMTliNjQifQ==</vt:lpwstr>
  </property>
  <property fmtid="{D5CDD505-2E9C-101B-9397-08002B2CF9AE}" pid="3" name="KSOProductBuildVer">
    <vt:lpwstr>1049-12.1.0.28485</vt:lpwstr>
  </property>
  <property fmtid="{D5CDD505-2E9C-101B-9397-08002B2CF9AE}" pid="4" name="ICV">
    <vt:lpwstr>9AB5F5A7085C4990A9D1A5A870771B6B_12</vt:lpwstr>
  </property>
</Properties>
</file>