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1"/>
        <w:tblpPr w:leftFromText="180" w:rightFromText="180" w:vertAnchor="page" w:horzAnchor="margin" w:tblpY="481"/>
        <w:tblW w:w="96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6660"/>
        <w:gridCol w:w="1620"/>
      </w:tblGrid>
      <w:tr w14:paraId="1BE96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4" w:hRule="atLeast"/>
        </w:trPr>
        <w:tc>
          <w:tcPr>
            <w:tcW w:w="1368" w:type="dxa"/>
            <w:tcBorders>
              <w:top w:val="nil"/>
              <w:left w:val="nil"/>
              <w:bottom w:val="single" w:color="auto" w:sz="4" w:space="0"/>
              <w:right w:val="nil"/>
            </w:tcBorders>
          </w:tcPr>
          <w:p w14:paraId="65C252A2">
            <w:pPr>
              <w:rPr>
                <w:b/>
                <w:sz w:val="28"/>
                <w:lang w:val="en-US"/>
              </w:rPr>
            </w:pPr>
            <w:bookmarkStart w:id="0" w:name="_GoBack"/>
            <w:bookmarkEnd w:id="0"/>
          </w:p>
          <w:p w14:paraId="358D5410">
            <w:pPr>
              <w:rPr>
                <w:lang w:val="en-US"/>
              </w:rPr>
            </w:pPr>
            <w:r>
              <w:drawing>
                <wp:anchor distT="0" distB="0" distL="114300" distR="114300" simplePos="0" relativeHeight="251660288" behindDoc="0" locked="0" layoutInCell="1" allowOverlap="0">
                  <wp:simplePos x="0" y="0"/>
                  <wp:positionH relativeFrom="margin">
                    <wp:posOffset>120015</wp:posOffset>
                  </wp:positionH>
                  <wp:positionV relativeFrom="margin">
                    <wp:posOffset>219075</wp:posOffset>
                  </wp:positionV>
                  <wp:extent cx="569595" cy="685800"/>
                  <wp:effectExtent l="19050" t="0" r="190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6" cstate="print"/>
                          <a:srcRect/>
                          <a:stretch>
                            <a:fillRect/>
                          </a:stretch>
                        </pic:blipFill>
                        <pic:spPr>
                          <a:xfrm>
                            <a:off x="0" y="0"/>
                            <a:ext cx="569595" cy="685800"/>
                          </a:xfrm>
                          <a:prstGeom prst="rect">
                            <a:avLst/>
                          </a:prstGeom>
                          <a:noFill/>
                          <a:ln w="9525">
                            <a:noFill/>
                            <a:miter lim="800000"/>
                            <a:headEnd/>
                            <a:tailEnd/>
                          </a:ln>
                        </pic:spPr>
                      </pic:pic>
                    </a:graphicData>
                  </a:graphic>
                </wp:anchor>
              </w:drawing>
            </w:r>
          </w:p>
        </w:tc>
        <w:tc>
          <w:tcPr>
            <w:tcW w:w="6660" w:type="dxa"/>
            <w:tcBorders>
              <w:top w:val="nil"/>
              <w:left w:val="nil"/>
              <w:bottom w:val="single" w:color="auto" w:sz="4" w:space="0"/>
              <w:right w:val="nil"/>
            </w:tcBorders>
          </w:tcPr>
          <w:p w14:paraId="7D3A2E9D">
            <w:pPr>
              <w:pStyle w:val="2"/>
              <w:rPr>
                <w:sz w:val="24"/>
                <w:szCs w:val="24"/>
              </w:rPr>
            </w:pPr>
          </w:p>
          <w:p w14:paraId="5FD32F02">
            <w:pPr>
              <w:pStyle w:val="2"/>
              <w:jc w:val="center"/>
              <w:rPr>
                <w:sz w:val="24"/>
                <w:szCs w:val="24"/>
              </w:rPr>
            </w:pPr>
            <w:r>
              <w:rPr>
                <w:sz w:val="24"/>
                <w:szCs w:val="24"/>
              </w:rPr>
              <w:t>REPUBLICA  MOLDOVA</w:t>
            </w:r>
          </w:p>
          <w:p w14:paraId="570F43CE">
            <w:pPr>
              <w:pStyle w:val="2"/>
              <w:jc w:val="center"/>
              <w:rPr>
                <w:sz w:val="24"/>
                <w:szCs w:val="24"/>
              </w:rPr>
            </w:pPr>
            <w:r>
              <w:rPr>
                <w:sz w:val="24"/>
                <w:szCs w:val="24"/>
              </w:rPr>
              <w:t>CONSILIUL  RAIONAL</w:t>
            </w:r>
          </w:p>
          <w:p w14:paraId="296515D5">
            <w:pPr>
              <w:jc w:val="center"/>
              <w:rPr>
                <w:b/>
                <w:lang w:val="ro-RO"/>
              </w:rPr>
            </w:pPr>
            <w:r>
              <w:rPr>
                <w:b/>
                <w:lang w:val="en-US"/>
              </w:rPr>
              <w:t>S</w:t>
            </w:r>
            <w:r>
              <w:rPr>
                <w:b/>
                <w:lang w:val="ro-RO"/>
              </w:rPr>
              <w:t>ÎNGEREI</w:t>
            </w:r>
          </w:p>
          <w:p w14:paraId="78BE1746">
            <w:pPr>
              <w:jc w:val="center"/>
              <w:rPr>
                <w:lang w:val="en-US"/>
              </w:rPr>
            </w:pPr>
            <w:r>
              <w:rPr>
                <w:b/>
                <w:lang w:val="ro-RO"/>
              </w:rPr>
              <w:t xml:space="preserve">PREŞEDINTELE RAIONULUI </w:t>
            </w:r>
          </w:p>
        </w:tc>
        <w:tc>
          <w:tcPr>
            <w:tcW w:w="1620" w:type="dxa"/>
            <w:tcBorders>
              <w:top w:val="nil"/>
              <w:left w:val="nil"/>
              <w:bottom w:val="single" w:color="auto" w:sz="4" w:space="0"/>
              <w:right w:val="nil"/>
            </w:tcBorders>
          </w:tcPr>
          <w:p w14:paraId="49B77193">
            <w:pPr>
              <w:jc w:val="center"/>
              <w:rPr>
                <w:lang w:val="en-US"/>
              </w:rPr>
            </w:pPr>
            <w:r>
              <w:drawing>
                <wp:anchor distT="0" distB="0" distL="114300" distR="114300" simplePos="0" relativeHeight="251659264" behindDoc="1" locked="0" layoutInCell="1" allowOverlap="1">
                  <wp:simplePos x="0" y="0"/>
                  <wp:positionH relativeFrom="column">
                    <wp:posOffset>5372100</wp:posOffset>
                  </wp:positionH>
                  <wp:positionV relativeFrom="paragraph">
                    <wp:posOffset>114300</wp:posOffset>
                  </wp:positionV>
                  <wp:extent cx="687070" cy="866140"/>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7" cstate="print"/>
                          <a:srcRect/>
                          <a:stretch>
                            <a:fillRect/>
                          </a:stretch>
                        </pic:blipFill>
                        <pic:spPr>
                          <a:xfrm>
                            <a:off x="0" y="0"/>
                            <a:ext cx="687070" cy="866140"/>
                          </a:xfrm>
                          <a:prstGeom prst="rect">
                            <a:avLst/>
                          </a:prstGeom>
                          <a:noFill/>
                          <a:ln w="9525">
                            <a:noFill/>
                            <a:miter lim="800000"/>
                            <a:headEnd/>
                            <a:tailEnd/>
                          </a:ln>
                        </pic:spPr>
                      </pic:pic>
                    </a:graphicData>
                  </a:graphic>
                </wp:anchor>
              </w:drawing>
            </w:r>
          </w:p>
          <w:p w14:paraId="62B916AC">
            <w:pPr>
              <w:jc w:val="center"/>
              <w:rPr>
                <w:b/>
                <w:sz w:val="18"/>
                <w:szCs w:val="18"/>
                <w:lang w:val="en-US"/>
              </w:rPr>
            </w:pPr>
            <w:r>
              <w:rPr>
                <w:b/>
                <w:sz w:val="20"/>
                <w:szCs w:val="20"/>
              </w:rPr>
              <w:drawing>
                <wp:inline distT="0" distB="0" distL="0" distR="0">
                  <wp:extent cx="496570" cy="62611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srcRect/>
                          <a:stretch>
                            <a:fillRect/>
                          </a:stretch>
                        </pic:blipFill>
                        <pic:spPr>
                          <a:xfrm>
                            <a:off x="0" y="0"/>
                            <a:ext cx="496570" cy="626110"/>
                          </a:xfrm>
                          <a:prstGeom prst="rect">
                            <a:avLst/>
                          </a:prstGeom>
                          <a:noFill/>
                          <a:ln w="9525">
                            <a:noFill/>
                            <a:miter lim="800000"/>
                            <a:headEnd/>
                            <a:tailEnd/>
                          </a:ln>
                        </pic:spPr>
                      </pic:pic>
                    </a:graphicData>
                  </a:graphic>
                </wp:inline>
              </w:drawing>
            </w:r>
          </w:p>
          <w:p w14:paraId="6C381487">
            <w:pPr>
              <w:jc w:val="right"/>
              <w:rPr>
                <w:sz w:val="18"/>
                <w:szCs w:val="18"/>
                <w:lang w:val="en-US"/>
              </w:rPr>
            </w:pPr>
          </w:p>
        </w:tc>
      </w:tr>
      <w:tr w14:paraId="3F651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9648" w:type="dxa"/>
            <w:gridSpan w:val="3"/>
            <w:tcBorders>
              <w:top w:val="single" w:color="auto" w:sz="4" w:space="0"/>
              <w:left w:val="nil"/>
              <w:bottom w:val="thinThickSmallGap" w:color="auto" w:sz="24" w:space="0"/>
              <w:right w:val="nil"/>
            </w:tcBorders>
          </w:tcPr>
          <w:p w14:paraId="679B9888">
            <w:pPr>
              <w:rPr>
                <w:b/>
                <w:lang w:val="ro-RO"/>
              </w:rPr>
            </w:pPr>
            <w:r>
              <w:rPr>
                <w:b/>
                <w:lang w:val="ro-RO"/>
              </w:rPr>
              <w:t>Secția Juridică și Resurse Umane</w:t>
            </w:r>
          </w:p>
        </w:tc>
      </w:tr>
    </w:tbl>
    <w:p w14:paraId="54663A66">
      <w:pPr>
        <w:spacing w:line="276" w:lineRule="auto"/>
        <w:rPr>
          <w:b/>
          <w:sz w:val="22"/>
          <w:szCs w:val="22"/>
          <w:lang w:val="en-US"/>
        </w:rPr>
      </w:pPr>
      <w:r>
        <w:rPr>
          <w:b/>
          <w:sz w:val="22"/>
          <w:szCs w:val="22"/>
          <w:lang w:val="en-US"/>
        </w:rPr>
        <w:t>Nr. ________________</w:t>
      </w:r>
    </w:p>
    <w:p w14:paraId="697C7AB4">
      <w:pPr>
        <w:spacing w:line="276" w:lineRule="auto"/>
        <w:rPr>
          <w:sz w:val="22"/>
          <w:szCs w:val="22"/>
          <w:lang w:val="ro-RO"/>
        </w:rPr>
      </w:pPr>
      <w:r>
        <w:rPr>
          <w:b/>
          <w:sz w:val="22"/>
          <w:szCs w:val="22"/>
          <w:lang w:val="en-US"/>
        </w:rPr>
        <w:t>din ________________2026</w:t>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p>
    <w:p w14:paraId="38A4C79F">
      <w:pPr>
        <w:rPr>
          <w:sz w:val="22"/>
          <w:szCs w:val="22"/>
          <w:lang w:val="ro-RO"/>
        </w:rPr>
      </w:pPr>
      <w:r>
        <w:rPr>
          <w:sz w:val="22"/>
          <w:szCs w:val="22"/>
          <w:lang w:val="ro-RO"/>
        </w:rPr>
        <w:t xml:space="preserve">SECRETARĂ INTERIMARĂ                                                                               De acord şi dispun elaborarea  a Consiliului raional                                                                                                                   proiectului de decizie </w:t>
      </w:r>
    </w:p>
    <w:p w14:paraId="30960EE7">
      <w:pPr>
        <w:jc w:val="both"/>
        <w:rPr>
          <w:sz w:val="22"/>
          <w:szCs w:val="22"/>
          <w:lang w:val="ro-RO"/>
        </w:rPr>
      </w:pPr>
      <w:r>
        <w:rPr>
          <w:b/>
          <w:sz w:val="22"/>
          <w:szCs w:val="22"/>
          <w:lang w:val="ro-RO"/>
        </w:rPr>
        <w:t>Angela MIHALIUC                                                                                                                       PREŞEDINTE,</w:t>
      </w:r>
    </w:p>
    <w:p w14:paraId="40C0CECA">
      <w:pPr>
        <w:tabs>
          <w:tab w:val="left" w:pos="7088"/>
          <w:tab w:val="left" w:pos="7230"/>
        </w:tabs>
        <w:jc w:val="right"/>
        <w:rPr>
          <w:b/>
          <w:sz w:val="22"/>
          <w:szCs w:val="22"/>
          <w:lang w:val="ro-RO"/>
        </w:rPr>
      </w:pPr>
      <w:r>
        <w:rPr>
          <w:sz w:val="22"/>
          <w:szCs w:val="22"/>
          <w:lang w:val="ro-RO"/>
        </w:rPr>
        <w:t xml:space="preserve">                                                                                                                                  </w:t>
      </w:r>
      <w:r>
        <w:rPr>
          <w:b/>
          <w:sz w:val="22"/>
          <w:szCs w:val="22"/>
          <w:lang w:val="ro-RO"/>
        </w:rPr>
        <w:t>Cristian CAINARIAN</w:t>
      </w:r>
    </w:p>
    <w:p w14:paraId="4B5D0457">
      <w:pPr>
        <w:tabs>
          <w:tab w:val="left" w:pos="7088"/>
          <w:tab w:val="left" w:pos="7230"/>
        </w:tabs>
        <w:jc w:val="right"/>
        <w:rPr>
          <w:sz w:val="22"/>
          <w:szCs w:val="22"/>
          <w:lang w:val="ro-RO"/>
        </w:rPr>
      </w:pPr>
      <w:r>
        <w:rPr>
          <w:sz w:val="22"/>
          <w:szCs w:val="22"/>
          <w:lang w:val="ro-RO"/>
        </w:rPr>
        <w:tab/>
      </w:r>
      <w:r>
        <w:rPr>
          <w:sz w:val="22"/>
          <w:szCs w:val="22"/>
          <w:lang w:val="ro-RO"/>
        </w:rPr>
        <w:t xml:space="preserve">                </w:t>
      </w:r>
      <w:r>
        <w:rPr>
          <w:b/>
          <w:sz w:val="22"/>
          <w:szCs w:val="22"/>
          <w:lang w:val="ro-RO"/>
        </w:rPr>
        <w:t xml:space="preserve">        </w:t>
      </w:r>
    </w:p>
    <w:p w14:paraId="3FD4E26A">
      <w:pPr>
        <w:contextualSpacing/>
        <w:jc w:val="center"/>
        <w:rPr>
          <w:b/>
          <w:sz w:val="22"/>
          <w:szCs w:val="22"/>
          <w:lang w:val="ro-RO"/>
        </w:rPr>
      </w:pPr>
    </w:p>
    <w:p w14:paraId="4585F5A0">
      <w:pPr>
        <w:contextualSpacing/>
        <w:jc w:val="center"/>
        <w:rPr>
          <w:b/>
          <w:sz w:val="22"/>
          <w:szCs w:val="22"/>
          <w:lang w:val="ro-RO"/>
        </w:rPr>
      </w:pPr>
      <w:r>
        <w:rPr>
          <w:b/>
          <w:sz w:val="22"/>
          <w:szCs w:val="22"/>
          <w:lang w:val="ro-RO"/>
        </w:rPr>
        <w:t>NOTĂ DE FUNDAMENTARE</w:t>
      </w:r>
    </w:p>
    <w:p w14:paraId="3AF11F4B">
      <w:pPr>
        <w:spacing w:after="200" w:line="276" w:lineRule="auto"/>
        <w:ind w:left="720"/>
        <w:contextualSpacing/>
        <w:jc w:val="center"/>
        <w:rPr>
          <w:b/>
          <w:lang w:val="en-US"/>
        </w:rPr>
      </w:pPr>
      <w:r>
        <w:rPr>
          <w:b/>
          <w:lang w:val="en-US"/>
        </w:rPr>
        <w:t>Cu privire la reîncadrarea în funcția publică de conducere</w:t>
      </w:r>
    </w:p>
    <w:tbl>
      <w:tblPr>
        <w:tblStyle w:val="11"/>
        <w:tblW w:w="5258" w:type="pct"/>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61"/>
      </w:tblGrid>
      <w:tr w14:paraId="5C01D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0B48D99E">
            <w:pPr>
              <w:numPr>
                <w:ilvl w:val="3"/>
                <w:numId w:val="1"/>
              </w:numPr>
              <w:tabs>
                <w:tab w:val="left" w:pos="284"/>
                <w:tab w:val="left" w:pos="1196"/>
                <w:tab w:val="clear" w:pos="2880"/>
              </w:tabs>
              <w:ind w:left="0" w:firstLine="0"/>
              <w:jc w:val="both"/>
              <w:rPr>
                <w:b/>
                <w:lang w:val="en-US"/>
              </w:rPr>
            </w:pPr>
            <w:r>
              <w:rPr>
                <w:b/>
                <w:lang w:val="en-US"/>
              </w:rPr>
              <w:t>Denumirea autorului şi, după caz, a participanţilor la elaborarea proiectului</w:t>
            </w:r>
          </w:p>
        </w:tc>
      </w:tr>
      <w:tr w14:paraId="029D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3C087A24">
            <w:pPr>
              <w:spacing w:line="276" w:lineRule="auto"/>
              <w:ind w:left="33"/>
              <w:jc w:val="both"/>
              <w:rPr>
                <w:rFonts w:eastAsiaTheme="minorHAnsi"/>
                <w:lang w:val="en-US" w:eastAsia="en-US"/>
              </w:rPr>
            </w:pPr>
            <w:r>
              <w:rPr>
                <w:lang w:val="en-US"/>
              </w:rPr>
              <w:t>Proiectul de decizie „</w:t>
            </w:r>
            <w:r>
              <w:rPr>
                <w:rFonts w:eastAsiaTheme="minorHAnsi"/>
                <w:lang w:val="en-US" w:eastAsia="en-US"/>
              </w:rPr>
              <w:t>Cu privire la reîncadrarea în funcția publică de conducere”</w:t>
            </w:r>
            <w:r>
              <w:rPr>
                <w:lang w:val="en-US"/>
              </w:rPr>
              <w:t>,</w:t>
            </w:r>
            <w:r>
              <w:rPr>
                <w:bCs/>
                <w:iCs/>
                <w:color w:val="C00000"/>
                <w:lang w:val="ro-RO"/>
              </w:rPr>
              <w:t xml:space="preserve"> </w:t>
            </w:r>
            <w:r>
              <w:rPr>
                <w:lang w:val="en-US"/>
              </w:rPr>
              <w:t>este elaborat de către Secția Juridică și Resurse Umane din cadrul Aparatului Președintelui raionului Sîngerei, avînd ca baza cererea dnei Mihaela LUCA, Secretară a Consiliului raional.</w:t>
            </w:r>
          </w:p>
        </w:tc>
      </w:tr>
      <w:tr w14:paraId="6827F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ADC2F51">
            <w:pPr>
              <w:tabs>
                <w:tab w:val="left" w:pos="884"/>
                <w:tab w:val="left" w:pos="1196"/>
              </w:tabs>
              <w:jc w:val="both"/>
              <w:rPr>
                <w:b/>
                <w:lang w:val="en-US"/>
              </w:rPr>
            </w:pPr>
            <w:r>
              <w:rPr>
                <w:b/>
                <w:lang w:val="en-US"/>
              </w:rPr>
              <w:t>2. Condiţiile ce au impus elaborarea proiectului de act normativ şi finalităţile urmărite</w:t>
            </w:r>
          </w:p>
        </w:tc>
      </w:tr>
      <w:tr w14:paraId="39680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tcBorders>
              <w:bottom w:val="single" w:color="auto" w:sz="4" w:space="0"/>
            </w:tcBorders>
          </w:tcPr>
          <w:p w14:paraId="0FD56F64">
            <w:pPr>
              <w:tabs>
                <w:tab w:val="left" w:pos="318"/>
                <w:tab w:val="left" w:pos="449"/>
              </w:tabs>
              <w:jc w:val="both"/>
              <w:rPr>
                <w:lang w:val="en-US"/>
              </w:rPr>
            </w:pPr>
            <w:r>
              <w:rPr>
                <w:lang w:val="ro-RO"/>
              </w:rPr>
              <w:t>Proiectul de decizie este întemeiat în baza art. 43 alin. (2) al Legii nr. 436/2006 privind administraţia publică locală;</w:t>
            </w:r>
            <w:r>
              <w:rPr>
                <w:lang w:val="en-US"/>
              </w:rPr>
              <w:t xml:space="preserve"> art. 55 al Legii nr. 158/2008 cu privire la funcţia publică şi statutul funcţionarului public, art. 12 și  art. 12</w:t>
            </w:r>
            <w:r>
              <w:rPr>
                <w:vertAlign w:val="superscript"/>
                <w:lang w:val="en-US"/>
              </w:rPr>
              <w:t>1</w:t>
            </w:r>
            <w:r>
              <w:rPr>
                <w:lang w:val="en-US"/>
              </w:rPr>
              <w:t xml:space="preserve"> al Legii nr. 270 din 23.11.2018 privind sistemul unitar de salarizare în sectorul bugetar, art. 10, art. 11 al Legii bugetului de stat pentru anul 2026 nr. 322/2025, Legea nr. 133/2016 privind declararea averii și a intereselor personale, Anexa nr. 2 la Hotărârea Guvernului nr. 1231 din 12.12.2018 pentru punerea în aplicare a prevederilor Legii nr. 270/2018 privind sistemul unitar de salarizare în sectorul bugetar</w:t>
            </w:r>
            <w:r>
              <w:rPr>
                <w:bCs/>
                <w:iCs/>
                <w:lang w:val="en-US"/>
              </w:rPr>
              <w:t>, Cererea dnei Mihaela LUCA din 24.08.2026 privind reîncadrarea în funcția publică.</w:t>
            </w:r>
          </w:p>
        </w:tc>
      </w:tr>
      <w:tr w14:paraId="7AD65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18594E0F">
            <w:pPr>
              <w:tabs>
                <w:tab w:val="left" w:pos="884"/>
                <w:tab w:val="left" w:pos="1196"/>
              </w:tabs>
              <w:jc w:val="both"/>
              <w:rPr>
                <w:b/>
                <w:lang w:val="en-US"/>
              </w:rPr>
            </w:pPr>
            <w:r>
              <w:rPr>
                <w:b/>
                <w:lang w:val="en-US"/>
              </w:rPr>
              <w:t>3. Obiectivele urmărite și soluțiile propuse</w:t>
            </w:r>
          </w:p>
        </w:tc>
      </w:tr>
      <w:tr w14:paraId="51AF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173E0622">
            <w:pPr>
              <w:pStyle w:val="5"/>
              <w:shd w:val="clear" w:color="auto" w:fill="FFFFFF"/>
              <w:spacing w:before="0"/>
              <w:jc w:val="both"/>
              <w:rPr>
                <w:rFonts w:ascii="Times New Roman" w:hAnsi="Times New Roman" w:cs="Times New Roman"/>
                <w:b w:val="0"/>
                <w:i w:val="0"/>
                <w:color w:val="000000" w:themeColor="text1"/>
                <w:lang w:val="en-US"/>
              </w:rPr>
            </w:pPr>
            <w:r>
              <w:rPr>
                <w:rFonts w:ascii="Times New Roman" w:hAnsi="Times New Roman" w:cs="Times New Roman"/>
                <w:b w:val="0"/>
                <w:i w:val="0"/>
                <w:color w:val="000000" w:themeColor="text1"/>
                <w:lang w:val="en-US"/>
              </w:rPr>
              <w:t xml:space="preserve">Necesitatea elaborării proiectului de decizie rezultă din cererea dnei Mihaela LUCA din 24.08.2026 privind reîncadrarea în funcția publică. </w:t>
            </w:r>
          </w:p>
          <w:p w14:paraId="2113E05D">
            <w:pPr>
              <w:jc w:val="both"/>
              <w:rPr>
                <w:lang w:val="en-US"/>
              </w:rPr>
            </w:pPr>
            <w:r>
              <w:rPr>
                <w:lang w:val="en-US"/>
              </w:rPr>
              <w:t xml:space="preserve">Conform art. 55 din Legea nr. 158/2008 cu privire la funcţia publică şi statutul funcţionarului public, </w:t>
            </w:r>
            <w:r>
              <w:rPr>
                <w:i/>
                <w:lang w:val="en-US"/>
              </w:rPr>
              <w:t>reîncadrarea funcţionarului public în funcţia publică înainte de expirarea perioadei pentru care a fost aprobată suspendarea raporturilor de serviciu se face la cererea acestuia, depusă cu cel puţin 15 zile lucrătoare înainte de reîncadrare.</w:t>
            </w:r>
            <w:r>
              <w:rPr>
                <w:rFonts w:ascii="Georgia" w:hAnsi="Georgia"/>
                <w:shd w:val="clear" w:color="auto" w:fill="FFFFFF"/>
                <w:lang w:val="en-US"/>
              </w:rPr>
              <w:t xml:space="preserve"> </w:t>
            </w:r>
            <w:r>
              <w:rPr>
                <w:i/>
                <w:lang w:val="en-US"/>
              </w:rPr>
              <w:t>Reîncadrarea funcţionarului public se dispune prin act administrativ al persoanei/organului care are competenţă legală de numire în funcţie.</w:t>
            </w:r>
          </w:p>
        </w:tc>
      </w:tr>
      <w:tr w14:paraId="6D9C5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7299ABB">
            <w:pPr>
              <w:tabs>
                <w:tab w:val="left" w:pos="884"/>
                <w:tab w:val="left" w:pos="1196"/>
              </w:tabs>
              <w:jc w:val="both"/>
              <w:rPr>
                <w:b/>
                <w:lang w:val="en-US"/>
              </w:rPr>
            </w:pPr>
            <w:r>
              <w:rPr>
                <w:b/>
                <w:bCs/>
                <w:lang w:val="ro-RO"/>
              </w:rPr>
              <w:t>4. Analiza impactului de reglementare</w:t>
            </w:r>
          </w:p>
        </w:tc>
      </w:tr>
      <w:tr w14:paraId="55767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AC76CE8">
            <w:pPr>
              <w:tabs>
                <w:tab w:val="left" w:pos="851"/>
              </w:tabs>
              <w:contextualSpacing/>
              <w:jc w:val="both"/>
              <w:rPr>
                <w:lang w:val="en-US"/>
              </w:rPr>
            </w:pPr>
            <w:r>
              <w:rPr>
                <w:lang w:val="en-US"/>
              </w:rPr>
              <w:t>Proiectul de decizie nu necesită alocarea mijloacelor financiare suplimentare din bugetul raional.</w:t>
            </w:r>
          </w:p>
        </w:tc>
      </w:tr>
      <w:tr w14:paraId="1C7C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7E3B630F">
            <w:pPr>
              <w:tabs>
                <w:tab w:val="left" w:pos="884"/>
                <w:tab w:val="left" w:pos="1196"/>
              </w:tabs>
              <w:jc w:val="both"/>
              <w:rPr>
                <w:b/>
                <w:lang w:val="en-US"/>
              </w:rPr>
            </w:pPr>
            <w:r>
              <w:rPr>
                <w:b/>
                <w:bCs/>
                <w:lang w:val="ro-RO"/>
              </w:rPr>
              <w:t>5. Compatibilitatea proiectului actului normativ cu legislația UE</w:t>
            </w:r>
            <w:r>
              <w:rPr>
                <w:b/>
                <w:lang w:val="en-US"/>
              </w:rPr>
              <w:t xml:space="preserve">- </w:t>
            </w:r>
            <w:r>
              <w:rPr>
                <w:lang w:val="ro-RO"/>
              </w:rPr>
              <w:t>„Nu este aplicabil”.</w:t>
            </w:r>
          </w:p>
        </w:tc>
      </w:tr>
      <w:tr w14:paraId="2F2AE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5000" w:type="pct"/>
          </w:tcPr>
          <w:p w14:paraId="3ADFB4FB">
            <w:pPr>
              <w:tabs>
                <w:tab w:val="left" w:pos="884"/>
                <w:tab w:val="left" w:pos="1196"/>
              </w:tabs>
              <w:jc w:val="both"/>
              <w:rPr>
                <w:lang w:val="en-US"/>
              </w:rPr>
            </w:pPr>
            <w:r>
              <w:rPr>
                <w:b/>
                <w:bCs/>
                <w:lang w:val="ro-RO" w:eastAsia="en-US"/>
              </w:rPr>
              <w:t>6. Avizarea și consultarea publică a proiectului actului normativ</w:t>
            </w:r>
            <w:r>
              <w:rPr>
                <w:b/>
                <w:color w:val="000000"/>
                <w:lang w:val="en-US"/>
              </w:rPr>
              <w:t xml:space="preserve">- </w:t>
            </w:r>
            <w:r>
              <w:rPr>
                <w:color w:val="000000"/>
                <w:lang w:val="ro-RO"/>
              </w:rPr>
              <w:t>„Nu este aplicabil”.</w:t>
            </w:r>
          </w:p>
        </w:tc>
      </w:tr>
      <w:tr w14:paraId="11513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5000" w:type="pct"/>
          </w:tcPr>
          <w:p w14:paraId="199495AA">
            <w:pPr>
              <w:tabs>
                <w:tab w:val="left" w:pos="884"/>
                <w:tab w:val="left" w:pos="1196"/>
              </w:tabs>
              <w:jc w:val="both"/>
              <w:rPr>
                <w:lang w:val="en-US"/>
              </w:rPr>
            </w:pPr>
            <w:r>
              <w:rPr>
                <w:b/>
                <w:bCs/>
                <w:lang w:val="ro-RO" w:eastAsia="en-US"/>
              </w:rPr>
              <w:t xml:space="preserve">7. Concluziile expertizelor </w:t>
            </w:r>
            <w:r>
              <w:rPr>
                <w:b/>
                <w:color w:val="000000"/>
                <w:lang w:val="en-US"/>
              </w:rPr>
              <w:t xml:space="preserve">- </w:t>
            </w:r>
            <w:r>
              <w:rPr>
                <w:color w:val="000000"/>
                <w:lang w:val="ro-RO"/>
              </w:rPr>
              <w:t>„Nu este aplicabil”.</w:t>
            </w:r>
          </w:p>
        </w:tc>
      </w:tr>
      <w:tr w14:paraId="0609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5000" w:type="pct"/>
          </w:tcPr>
          <w:p w14:paraId="7886F229">
            <w:pPr>
              <w:tabs>
                <w:tab w:val="left" w:pos="884"/>
                <w:tab w:val="left" w:pos="1196"/>
              </w:tabs>
              <w:jc w:val="both"/>
              <w:rPr>
                <w:b/>
                <w:bCs/>
                <w:lang w:val="ro-RO" w:eastAsia="en-US"/>
              </w:rPr>
            </w:pPr>
            <w:r>
              <w:rPr>
                <w:b/>
                <w:bCs/>
                <w:lang w:val="ro-RO" w:eastAsia="en-US"/>
              </w:rPr>
              <w:t>8. Modul de încorporare a actului în cadrul normativ existent</w:t>
            </w:r>
          </w:p>
        </w:tc>
      </w:tr>
      <w:tr w14:paraId="567B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5000" w:type="pct"/>
          </w:tcPr>
          <w:p w14:paraId="783F47E2">
            <w:pPr>
              <w:jc w:val="both"/>
              <w:rPr>
                <w:lang w:val="en-US"/>
              </w:rPr>
            </w:pPr>
            <w:r>
              <w:rPr>
                <w:lang w:val="en-US"/>
              </w:rPr>
              <w:t>Prezentul proiect nu necesită modificarea sau elaborarea unor acte normative noi.</w:t>
            </w:r>
          </w:p>
        </w:tc>
      </w:tr>
      <w:tr w14:paraId="23943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5000" w:type="pct"/>
          </w:tcPr>
          <w:p w14:paraId="51FB3D02">
            <w:pPr>
              <w:tabs>
                <w:tab w:val="left" w:pos="884"/>
                <w:tab w:val="left" w:pos="1196"/>
              </w:tabs>
              <w:jc w:val="both"/>
              <w:rPr>
                <w:b/>
                <w:bCs/>
                <w:lang w:val="ro-RO" w:eastAsia="en-US"/>
              </w:rPr>
            </w:pPr>
            <w:r>
              <w:rPr>
                <w:b/>
                <w:bCs/>
                <w:lang w:val="ro-RO" w:eastAsia="en-US"/>
              </w:rPr>
              <w:t>9. Măsurile necesare pentru implementarea prevederilor proiectului actului normativ</w:t>
            </w:r>
            <w:r>
              <w:rPr>
                <w:b/>
                <w:color w:val="000000"/>
                <w:lang w:val="en-US"/>
              </w:rPr>
              <w:t xml:space="preserve">- </w:t>
            </w:r>
            <w:r>
              <w:rPr>
                <w:color w:val="000000"/>
                <w:lang w:val="ro-RO"/>
              </w:rPr>
              <w:t>„Nu este aplicabil”.</w:t>
            </w:r>
          </w:p>
        </w:tc>
      </w:tr>
    </w:tbl>
    <w:p w14:paraId="2ED6E4B2">
      <w:pPr>
        <w:contextualSpacing/>
        <w:jc w:val="right"/>
        <w:rPr>
          <w:lang w:val="it-IT"/>
        </w:rPr>
      </w:pPr>
      <w:r>
        <w:rPr>
          <w:lang w:val="en-US"/>
        </w:rPr>
        <w:t>Întocmit</w:t>
      </w:r>
    </w:p>
    <w:p w14:paraId="100C0318">
      <w:pPr>
        <w:contextualSpacing/>
        <w:jc w:val="right"/>
        <w:rPr>
          <w:b/>
          <w:lang w:val="it-IT"/>
        </w:rPr>
      </w:pPr>
      <w:r>
        <w:rPr>
          <w:b/>
          <w:lang w:val="en-US"/>
        </w:rPr>
        <w:t>Secția Juridică și Resurse Umane</w:t>
      </w:r>
    </w:p>
    <w:p w14:paraId="58153813">
      <w:pPr>
        <w:contextualSpacing/>
        <w:jc w:val="right"/>
        <w:rPr>
          <w:lang w:val="it-IT"/>
        </w:rPr>
      </w:pPr>
      <w:r>
        <w:rPr>
          <w:lang w:val="it-IT"/>
        </w:rPr>
        <w:t>Aliona CRĂCIUN</w:t>
      </w:r>
    </w:p>
    <w:p w14:paraId="1B9ADA93">
      <w:pPr>
        <w:jc w:val="right"/>
        <w:rPr>
          <w:sz w:val="22"/>
          <w:szCs w:val="22"/>
          <w:lang w:val="en-US"/>
        </w:rPr>
      </w:pPr>
      <w:r>
        <w:rPr>
          <w:sz w:val="22"/>
          <w:szCs w:val="22"/>
          <w:lang w:val="it-IT"/>
        </w:rPr>
        <w:t xml:space="preserve">              _____________________________</w:t>
      </w:r>
    </w:p>
    <w:p w14:paraId="582D8788">
      <w:pPr>
        <w:tabs>
          <w:tab w:val="left" w:pos="3420"/>
        </w:tabs>
        <w:rPr>
          <w:lang w:val="en-US"/>
        </w:rPr>
      </w:pPr>
    </w:p>
    <w:p w14:paraId="66868A79">
      <w:pPr>
        <w:tabs>
          <w:tab w:val="left" w:pos="3420"/>
        </w:tabs>
        <w:rPr>
          <w:lang w:val="en-US"/>
        </w:rPr>
      </w:pPr>
    </w:p>
    <w:p w14:paraId="51E925A5">
      <w:pPr>
        <w:tabs>
          <w:tab w:val="left" w:pos="3420"/>
        </w:tabs>
        <w:rPr>
          <w:lang w:val="en-US"/>
        </w:rPr>
      </w:pPr>
    </w:p>
    <w:tbl>
      <w:tblPr>
        <w:tblStyle w:val="11"/>
        <w:tblW w:w="92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6129"/>
        <w:gridCol w:w="1384"/>
      </w:tblGrid>
      <w:tr w14:paraId="5B597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trPr>
        <w:tc>
          <w:tcPr>
            <w:tcW w:w="1701" w:type="dxa"/>
            <w:tcBorders>
              <w:top w:val="nil"/>
              <w:left w:val="nil"/>
              <w:bottom w:val="single" w:color="auto" w:sz="4" w:space="0"/>
              <w:right w:val="nil"/>
            </w:tcBorders>
          </w:tcPr>
          <w:p w14:paraId="646A4BF8">
            <w:pPr>
              <w:tabs>
                <w:tab w:val="left" w:pos="597"/>
                <w:tab w:val="left" w:pos="822"/>
              </w:tabs>
              <w:contextualSpacing/>
              <w:jc w:val="center"/>
              <w:rPr>
                <w:b/>
                <w:sz w:val="28"/>
              </w:rPr>
            </w:pPr>
            <w:r>
              <w:drawing>
                <wp:anchor distT="0" distB="0" distL="114300" distR="114300" simplePos="0" relativeHeight="251661312" behindDoc="0" locked="0" layoutInCell="1" allowOverlap="0">
                  <wp:simplePos x="0" y="0"/>
                  <wp:positionH relativeFrom="margin">
                    <wp:posOffset>75565</wp:posOffset>
                  </wp:positionH>
                  <wp:positionV relativeFrom="margin">
                    <wp:posOffset>172085</wp:posOffset>
                  </wp:positionV>
                  <wp:extent cx="676275" cy="819150"/>
                  <wp:effectExtent l="0" t="0" r="0" b="0"/>
                  <wp:wrapNone/>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2"/>
                          <pic:cNvPicPr>
                            <a:picLocks noChangeAspect="1" noChangeArrowheads="1"/>
                          </pic:cNvPicPr>
                        </pic:nvPicPr>
                        <pic:blipFill>
                          <a:blip r:embed="rId6" cstate="print"/>
                          <a:srcRect/>
                          <a:stretch>
                            <a:fillRect/>
                          </a:stretch>
                        </pic:blipFill>
                        <pic:spPr>
                          <a:xfrm>
                            <a:off x="0" y="0"/>
                            <a:ext cx="676275" cy="819150"/>
                          </a:xfrm>
                          <a:prstGeom prst="rect">
                            <a:avLst/>
                          </a:prstGeom>
                          <a:noFill/>
                        </pic:spPr>
                      </pic:pic>
                    </a:graphicData>
                  </a:graphic>
                </wp:anchor>
              </w:drawing>
            </w:r>
            <w:r>
              <w:br w:type="page"/>
            </w:r>
          </w:p>
          <w:p w14:paraId="2031530F">
            <w:pPr>
              <w:contextualSpacing/>
            </w:pPr>
          </w:p>
        </w:tc>
        <w:tc>
          <w:tcPr>
            <w:tcW w:w="6129" w:type="dxa"/>
            <w:tcBorders>
              <w:top w:val="nil"/>
              <w:left w:val="nil"/>
              <w:bottom w:val="single" w:color="auto" w:sz="4" w:space="0"/>
              <w:right w:val="nil"/>
            </w:tcBorders>
          </w:tcPr>
          <w:p w14:paraId="7779F5CB">
            <w:pPr>
              <w:contextualSpacing/>
              <w:rPr>
                <w:lang w:val="ro-RO"/>
              </w:rPr>
            </w:pPr>
          </w:p>
          <w:p w14:paraId="0150F171">
            <w:pPr>
              <w:pStyle w:val="2"/>
              <w:contextualSpacing/>
              <w:jc w:val="center"/>
              <w:rPr>
                <w:rFonts w:eastAsiaTheme="minorEastAsia"/>
                <w:sz w:val="24"/>
                <w:szCs w:val="24"/>
                <w:lang w:val="it-IT"/>
              </w:rPr>
            </w:pPr>
            <w:r>
              <w:rPr>
                <w:rFonts w:eastAsiaTheme="minorEastAsia"/>
                <w:sz w:val="24"/>
                <w:szCs w:val="24"/>
                <w:lang w:val="it-IT"/>
              </w:rPr>
              <w:t>REPUBLICA  MOLDOVA</w:t>
            </w:r>
          </w:p>
          <w:p w14:paraId="1D000340">
            <w:pPr>
              <w:pStyle w:val="2"/>
              <w:contextualSpacing/>
              <w:jc w:val="center"/>
              <w:rPr>
                <w:rFonts w:eastAsiaTheme="minorEastAsia"/>
                <w:sz w:val="24"/>
                <w:szCs w:val="24"/>
                <w:lang w:val="it-IT"/>
              </w:rPr>
            </w:pPr>
          </w:p>
          <w:p w14:paraId="547B2CCD">
            <w:pPr>
              <w:pStyle w:val="2"/>
              <w:contextualSpacing/>
              <w:jc w:val="center"/>
              <w:rPr>
                <w:rFonts w:eastAsiaTheme="minorEastAsia"/>
                <w:sz w:val="24"/>
                <w:szCs w:val="24"/>
                <w:lang w:val="it-IT"/>
              </w:rPr>
            </w:pPr>
            <w:r>
              <w:rPr>
                <w:rFonts w:eastAsiaTheme="minorEastAsia"/>
                <w:sz w:val="24"/>
                <w:szCs w:val="24"/>
                <w:lang w:val="it-IT"/>
              </w:rPr>
              <w:t>CONSILIUL  RAIONAL</w:t>
            </w:r>
          </w:p>
          <w:p w14:paraId="181675EE">
            <w:pPr>
              <w:pStyle w:val="2"/>
              <w:contextualSpacing/>
              <w:jc w:val="center"/>
              <w:rPr>
                <w:rFonts w:eastAsiaTheme="minorEastAsia"/>
                <w:sz w:val="24"/>
                <w:szCs w:val="24"/>
                <w:lang w:val="it-IT"/>
              </w:rPr>
            </w:pPr>
            <w:r>
              <w:rPr>
                <w:sz w:val="24"/>
                <w:szCs w:val="24"/>
                <w:lang w:val="it-IT"/>
              </w:rPr>
              <w:t>S</w:t>
            </w:r>
            <w:r>
              <w:rPr>
                <w:sz w:val="24"/>
                <w:szCs w:val="24"/>
                <w:lang w:val="ro-RO"/>
              </w:rPr>
              <w:t>ÎNGEREI</w:t>
            </w:r>
          </w:p>
        </w:tc>
        <w:tc>
          <w:tcPr>
            <w:tcW w:w="1384" w:type="dxa"/>
            <w:tcBorders>
              <w:top w:val="nil"/>
              <w:left w:val="nil"/>
              <w:bottom w:val="single" w:color="auto" w:sz="4" w:space="0"/>
              <w:right w:val="nil"/>
            </w:tcBorders>
          </w:tcPr>
          <w:p w14:paraId="53B079B0">
            <w:pPr>
              <w:contextualSpacing/>
              <w:jc w:val="center"/>
              <w:rPr>
                <w:lang w:val="it-IT"/>
              </w:rPr>
            </w:pPr>
            <w:r>
              <w:drawing>
                <wp:anchor distT="0" distB="0" distL="114300" distR="114300" simplePos="0" relativeHeight="251662336" behindDoc="1" locked="0" layoutInCell="1" allowOverlap="1">
                  <wp:simplePos x="0" y="0"/>
                  <wp:positionH relativeFrom="column">
                    <wp:posOffset>5372100</wp:posOffset>
                  </wp:positionH>
                  <wp:positionV relativeFrom="paragraph">
                    <wp:posOffset>114300</wp:posOffset>
                  </wp:positionV>
                  <wp:extent cx="687070" cy="866140"/>
                  <wp:effectExtent l="19050" t="0" r="0" b="0"/>
                  <wp:wrapNone/>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3"/>
                          <pic:cNvPicPr>
                            <a:picLocks noChangeAspect="1" noChangeArrowheads="1"/>
                          </pic:cNvPicPr>
                        </pic:nvPicPr>
                        <pic:blipFill>
                          <a:blip r:embed="rId7" cstate="print"/>
                          <a:srcRect/>
                          <a:stretch>
                            <a:fillRect/>
                          </a:stretch>
                        </pic:blipFill>
                        <pic:spPr>
                          <a:xfrm>
                            <a:off x="0" y="0"/>
                            <a:ext cx="687070" cy="866140"/>
                          </a:xfrm>
                          <a:prstGeom prst="rect">
                            <a:avLst/>
                          </a:prstGeom>
                          <a:noFill/>
                        </pic:spPr>
                      </pic:pic>
                    </a:graphicData>
                  </a:graphic>
                </wp:anchor>
              </w:drawing>
            </w:r>
          </w:p>
          <w:p w14:paraId="6919EE7A">
            <w:pPr>
              <w:contextualSpacing/>
              <w:jc w:val="center"/>
              <w:rPr>
                <w:b/>
                <w:sz w:val="18"/>
                <w:szCs w:val="18"/>
                <w:lang w:val="ro-RO"/>
              </w:rPr>
            </w:pPr>
            <w:r>
              <w:rPr>
                <w:b/>
                <w:sz w:val="20"/>
                <w:szCs w:val="20"/>
              </w:rPr>
              <w:drawing>
                <wp:inline distT="0" distB="0" distL="0" distR="0">
                  <wp:extent cx="670560" cy="858520"/>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
                          <pic:cNvPicPr>
                            <a:picLocks noChangeAspect="1" noChangeArrowheads="1"/>
                          </pic:cNvPicPr>
                        </pic:nvPicPr>
                        <pic:blipFill>
                          <a:blip r:embed="rId9" cstate="print"/>
                          <a:srcRect/>
                          <a:stretch>
                            <a:fillRect/>
                          </a:stretch>
                        </pic:blipFill>
                        <pic:spPr>
                          <a:xfrm>
                            <a:off x="0" y="0"/>
                            <a:ext cx="700988" cy="897705"/>
                          </a:xfrm>
                          <a:prstGeom prst="rect">
                            <a:avLst/>
                          </a:prstGeom>
                          <a:noFill/>
                          <a:ln w="9525">
                            <a:noFill/>
                            <a:miter lim="800000"/>
                            <a:headEnd/>
                            <a:tailEnd/>
                          </a:ln>
                        </pic:spPr>
                      </pic:pic>
                    </a:graphicData>
                  </a:graphic>
                </wp:inline>
              </w:drawing>
            </w:r>
          </w:p>
          <w:p w14:paraId="36C97EC8">
            <w:pPr>
              <w:contextualSpacing/>
              <w:jc w:val="right"/>
              <w:rPr>
                <w:sz w:val="18"/>
                <w:szCs w:val="18"/>
              </w:rPr>
            </w:pPr>
          </w:p>
        </w:tc>
      </w:tr>
      <w:tr w14:paraId="0A6D0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 w:hRule="atLeast"/>
        </w:trPr>
        <w:tc>
          <w:tcPr>
            <w:tcW w:w="9214" w:type="dxa"/>
            <w:gridSpan w:val="3"/>
            <w:tcBorders>
              <w:top w:val="single" w:color="auto" w:sz="4" w:space="0"/>
              <w:left w:val="nil"/>
              <w:bottom w:val="thinThickSmallGap" w:color="auto" w:sz="24" w:space="0"/>
              <w:right w:val="nil"/>
            </w:tcBorders>
          </w:tcPr>
          <w:p w14:paraId="032D40C9">
            <w:pPr>
              <w:contextualSpacing/>
              <w:rPr>
                <w:b/>
                <w:lang w:val="ro-RO"/>
              </w:rPr>
            </w:pPr>
            <w:r>
              <w:rPr>
                <w:b/>
                <w:lang w:val="ro-RO"/>
              </w:rPr>
              <w:t>Secția Juridică și Resurse Umane</w:t>
            </w:r>
          </w:p>
        </w:tc>
      </w:tr>
    </w:tbl>
    <w:p w14:paraId="2221EBDC">
      <w:pPr>
        <w:pStyle w:val="2"/>
        <w:jc w:val="center"/>
        <w:rPr>
          <w:bCs/>
          <w:sz w:val="22"/>
          <w:szCs w:val="22"/>
          <w:lang w:val="fr-FR"/>
        </w:rPr>
      </w:pPr>
      <w:r>
        <w:rPr>
          <w:bCs/>
          <w:sz w:val="22"/>
          <w:szCs w:val="22"/>
          <w:lang w:val="fr-FR"/>
        </w:rPr>
        <w:t>PROIECT DE DECIZIE Nr. _____</w:t>
      </w:r>
    </w:p>
    <w:p w14:paraId="47A9133A">
      <w:pPr>
        <w:jc w:val="center"/>
        <w:rPr>
          <w:b/>
          <w:bCs/>
          <w:sz w:val="22"/>
          <w:szCs w:val="22"/>
          <w:lang w:val="ro-RO"/>
        </w:rPr>
      </w:pPr>
      <w:r>
        <w:rPr>
          <w:b/>
          <w:bCs/>
          <w:sz w:val="22"/>
          <w:szCs w:val="22"/>
          <w:lang w:val="ro-RO"/>
        </w:rPr>
        <w:t>din “______”____________ 2026</w:t>
      </w:r>
    </w:p>
    <w:p w14:paraId="1C749566">
      <w:pPr>
        <w:spacing w:line="360" w:lineRule="auto"/>
        <w:jc w:val="center"/>
        <w:rPr>
          <w:b/>
          <w:bCs/>
          <w:sz w:val="22"/>
          <w:szCs w:val="22"/>
          <w:lang w:val="ro-RO"/>
        </w:rPr>
      </w:pPr>
      <w:r>
        <w:rPr>
          <w:b/>
          <w:bCs/>
          <w:sz w:val="22"/>
          <w:szCs w:val="22"/>
          <w:lang w:val="ro-RO"/>
        </w:rPr>
        <w:t>or. Sîngerei</w:t>
      </w:r>
    </w:p>
    <w:p w14:paraId="405EA38F">
      <w:pPr>
        <w:spacing w:after="200" w:line="276" w:lineRule="auto"/>
        <w:ind w:left="720" w:hanging="720"/>
        <w:contextualSpacing/>
        <w:rPr>
          <w:b/>
          <w:sz w:val="22"/>
          <w:szCs w:val="28"/>
          <w:lang w:val="en-US"/>
        </w:rPr>
      </w:pPr>
    </w:p>
    <w:p w14:paraId="2AFA1F46">
      <w:pPr>
        <w:spacing w:after="200" w:line="276" w:lineRule="auto"/>
        <w:ind w:left="720" w:hanging="720"/>
        <w:contextualSpacing/>
        <w:rPr>
          <w:b/>
          <w:lang w:val="en-US"/>
        </w:rPr>
      </w:pPr>
      <w:r>
        <w:rPr>
          <w:b/>
          <w:lang w:val="en-US"/>
        </w:rPr>
        <w:t>Cu privire la reîncadrarea în funcția publică de conducere</w:t>
      </w:r>
    </w:p>
    <w:p w14:paraId="1E0F48E3">
      <w:pPr>
        <w:rPr>
          <w:b/>
          <w:lang w:val="en-US"/>
        </w:rPr>
      </w:pPr>
    </w:p>
    <w:p w14:paraId="4E6B1066">
      <w:pPr>
        <w:spacing w:line="276" w:lineRule="auto"/>
        <w:jc w:val="both"/>
        <w:rPr>
          <w:rFonts w:eastAsiaTheme="minorHAnsi"/>
          <w:lang w:val="en-US" w:eastAsia="en-US"/>
        </w:rPr>
      </w:pPr>
      <w:r>
        <w:rPr>
          <w:lang w:val="en-US"/>
        </w:rPr>
        <w:tab/>
      </w:r>
      <w:r>
        <w:rPr>
          <w:lang w:val="en-US"/>
        </w:rPr>
        <w:t>Având în vedere: Nota de fundamentare „</w:t>
      </w:r>
      <w:r>
        <w:rPr>
          <w:rFonts w:eastAsiaTheme="minorHAnsi"/>
          <w:lang w:val="en-US" w:eastAsia="en-US"/>
        </w:rPr>
        <w:t>Cu privire la reîncadrarea în funcția publică de conducere”</w:t>
      </w:r>
      <w:r>
        <w:rPr>
          <w:bCs/>
          <w:lang w:val="en-US"/>
        </w:rPr>
        <w:t>,</w:t>
      </w:r>
    </w:p>
    <w:p w14:paraId="45E0095F">
      <w:pPr>
        <w:pStyle w:val="23"/>
        <w:jc w:val="both"/>
        <w:rPr>
          <w:rFonts w:ascii="Times New Roman" w:hAnsi="Times New Roman" w:cs="Times New Roman"/>
          <w:sz w:val="24"/>
          <w:szCs w:val="24"/>
        </w:rPr>
      </w:pPr>
      <w:r>
        <w:rPr>
          <w:rFonts w:ascii="Times New Roman" w:hAnsi="Times New Roman" w:eastAsia="Calibri" w:cs="Times New Roman"/>
          <w:bCs/>
          <w:sz w:val="24"/>
          <w:szCs w:val="24"/>
          <w:lang w:val="ro-RO"/>
        </w:rPr>
        <w:tab/>
      </w:r>
      <w:r>
        <w:rPr>
          <w:rStyle w:val="36"/>
          <w:rFonts w:ascii="Times New Roman" w:hAnsi="Times New Roman" w:cs="Times New Roman"/>
          <w:color w:val="auto"/>
          <w:sz w:val="24"/>
          <w:szCs w:val="24"/>
        </w:rPr>
        <w:t xml:space="preserve">În temeiul </w:t>
      </w:r>
      <w:r>
        <w:rPr>
          <w:rFonts w:ascii="Times New Roman" w:hAnsi="Times New Roman" w:cs="Times New Roman"/>
          <w:sz w:val="24"/>
          <w:szCs w:val="24"/>
          <w:lang w:val="ro-RO"/>
        </w:rPr>
        <w:t>art. 43 alin. (2) al Legii nr. 436/2006 privind administraţia publică locală;</w:t>
      </w:r>
      <w:r>
        <w:rPr>
          <w:rFonts w:ascii="Times New Roman" w:hAnsi="Times New Roman" w:cs="Times New Roman"/>
          <w:sz w:val="24"/>
          <w:szCs w:val="24"/>
        </w:rPr>
        <w:t xml:space="preserve"> art. 55 al Legii nr. 158/2008 cu privire la funcţia publică şi statutul funcţionarului public, art. 12 și  art. 12</w:t>
      </w:r>
      <w:r>
        <w:rPr>
          <w:rFonts w:ascii="Times New Roman" w:hAnsi="Times New Roman" w:cs="Times New Roman"/>
          <w:sz w:val="24"/>
          <w:szCs w:val="24"/>
          <w:vertAlign w:val="superscript"/>
        </w:rPr>
        <w:t>1</w:t>
      </w:r>
      <w:r>
        <w:rPr>
          <w:rFonts w:ascii="Times New Roman" w:hAnsi="Times New Roman" w:cs="Times New Roman"/>
          <w:sz w:val="24"/>
          <w:szCs w:val="24"/>
        </w:rPr>
        <w:t xml:space="preserve"> al Legii nr. 270 din 23.11.2018 privind sistemul unitar de salarizare în sectorul bugetar, art. 10, art. 11 al Legii bugetului de stat pentru anul 2026 nr. 322/2025, Legea nr. 133/2016 privind declararea averii și a intereselor personale, Anexa nr. 2 la Hotărârea Guvernului nr. 1231 din 12.12.2018 pentru punerea în aplicare a prevederilor Legii nr. 270/2018 privind sistemul unitar de salarizare în sectorul bugetar</w:t>
      </w:r>
      <w:r>
        <w:rPr>
          <w:rFonts w:ascii="Times New Roman" w:hAnsi="Times New Roman" w:cs="Times New Roman"/>
          <w:bCs/>
          <w:iCs/>
          <w:sz w:val="24"/>
          <w:szCs w:val="24"/>
        </w:rPr>
        <w:t>, Cererea dnei Mihaela LUCA din 24.08.2026 privind reîncadrarea în funcția publică,</w:t>
      </w:r>
    </w:p>
    <w:p w14:paraId="74A3BE3F">
      <w:pPr>
        <w:pStyle w:val="23"/>
        <w:ind w:firstLine="708"/>
        <w:jc w:val="both"/>
        <w:rPr>
          <w:rFonts w:ascii="Times New Roman" w:hAnsi="Times New Roman" w:cs="Times New Roman"/>
          <w:sz w:val="24"/>
          <w:szCs w:val="24"/>
          <w:lang w:val="ro-RO"/>
        </w:rPr>
      </w:pPr>
      <w:r>
        <w:rPr>
          <w:rFonts w:ascii="Times New Roman" w:hAnsi="Times New Roman" w:cs="Times New Roman"/>
          <w:sz w:val="24"/>
          <w:szCs w:val="24"/>
        </w:rPr>
        <w:t>Consiliul raional,</w:t>
      </w:r>
    </w:p>
    <w:p w14:paraId="47F4F3A7">
      <w:pPr>
        <w:jc w:val="center"/>
        <w:rPr>
          <w:b/>
          <w:bCs/>
          <w:lang w:val="ro-RO"/>
        </w:rPr>
      </w:pPr>
      <w:r>
        <w:rPr>
          <w:b/>
          <w:bCs/>
          <w:lang w:val="ro-RO"/>
        </w:rPr>
        <w:t>DECIDE:</w:t>
      </w:r>
    </w:p>
    <w:p w14:paraId="7500A53E">
      <w:pPr>
        <w:pStyle w:val="22"/>
        <w:numPr>
          <w:ilvl w:val="0"/>
          <w:numId w:val="2"/>
        </w:numPr>
        <w:tabs>
          <w:tab w:val="left" w:pos="851"/>
        </w:tabs>
        <w:ind w:left="0" w:firstLine="567"/>
        <w:jc w:val="both"/>
        <w:rPr>
          <w:lang w:val="en-US"/>
        </w:rPr>
      </w:pPr>
      <w:r>
        <w:rPr>
          <w:lang w:val="en-US"/>
        </w:rPr>
        <w:t>Se reîncadrează dna Mihaela LUCA, în funcția publică de Secretară a Consiliului raional, exercitată anterior, începând cu data de 12.10.2026.</w:t>
      </w:r>
    </w:p>
    <w:p w14:paraId="6761560D">
      <w:pPr>
        <w:pStyle w:val="22"/>
        <w:numPr>
          <w:ilvl w:val="0"/>
          <w:numId w:val="2"/>
        </w:numPr>
        <w:tabs>
          <w:tab w:val="left" w:pos="851"/>
        </w:tabs>
        <w:ind w:left="0" w:firstLine="567"/>
        <w:jc w:val="both"/>
        <w:rPr>
          <w:bCs/>
          <w:iCs/>
          <w:lang w:val="en-US"/>
        </w:rPr>
      </w:pPr>
      <w:r>
        <w:rPr>
          <w:bCs/>
          <w:iCs/>
          <w:lang w:val="en-US"/>
        </w:rPr>
        <w:t>Se încetează exercitarea interimatului funcției de Secretară interimară a Consiliului raional de către dna Angela MIHALIUC, la data de 11.10.2026 (aceasta fiind ultima zi de lucru).</w:t>
      </w:r>
    </w:p>
    <w:p w14:paraId="19092AE7">
      <w:pPr>
        <w:pStyle w:val="22"/>
        <w:numPr>
          <w:ilvl w:val="0"/>
          <w:numId w:val="2"/>
        </w:numPr>
        <w:tabs>
          <w:tab w:val="left" w:pos="851"/>
        </w:tabs>
        <w:ind w:left="0" w:firstLine="567"/>
        <w:jc w:val="both"/>
        <w:rPr>
          <w:bCs/>
          <w:iCs/>
          <w:lang w:val="en-US"/>
        </w:rPr>
      </w:pPr>
      <w:r>
        <w:rPr>
          <w:bCs/>
          <w:iCs/>
          <w:lang w:val="en-US"/>
        </w:rPr>
        <w:t xml:space="preserve">Se atribuie dnei </w:t>
      </w:r>
      <w:r>
        <w:rPr>
          <w:lang w:val="en-US"/>
        </w:rPr>
        <w:t>Mihaela LUCA</w:t>
      </w:r>
      <w:r>
        <w:rPr>
          <w:bCs/>
          <w:iCs/>
          <w:lang w:val="en-US"/>
        </w:rPr>
        <w:t xml:space="preserve">: </w:t>
      </w:r>
    </w:p>
    <w:p w14:paraId="403C0870">
      <w:pPr>
        <w:pStyle w:val="22"/>
        <w:tabs>
          <w:tab w:val="left" w:pos="851"/>
        </w:tabs>
        <w:ind w:left="567"/>
        <w:jc w:val="both"/>
        <w:rPr>
          <w:bCs/>
          <w:iCs/>
          <w:lang w:val="en-US"/>
        </w:rPr>
      </w:pPr>
      <w:r>
        <w:rPr>
          <w:bCs/>
          <w:iCs/>
          <w:lang w:val="en-US"/>
        </w:rPr>
        <w:t>- treapta de salarizare- III;</w:t>
      </w:r>
    </w:p>
    <w:p w14:paraId="15B43B7E">
      <w:pPr>
        <w:pStyle w:val="22"/>
        <w:tabs>
          <w:tab w:val="left" w:pos="851"/>
        </w:tabs>
        <w:ind w:left="567"/>
        <w:jc w:val="both"/>
        <w:rPr>
          <w:bCs/>
          <w:iCs/>
          <w:lang w:val="en-US"/>
        </w:rPr>
      </w:pPr>
      <w:r>
        <w:rPr>
          <w:bCs/>
          <w:iCs/>
          <w:lang w:val="en-US"/>
        </w:rPr>
        <w:t xml:space="preserve">- clasa de salarizare- 98; </w:t>
      </w:r>
    </w:p>
    <w:p w14:paraId="7B99B228">
      <w:pPr>
        <w:pStyle w:val="22"/>
        <w:tabs>
          <w:tab w:val="left" w:pos="851"/>
        </w:tabs>
        <w:ind w:left="567"/>
        <w:jc w:val="both"/>
        <w:rPr>
          <w:bCs/>
          <w:iCs/>
          <w:lang w:val="en-US"/>
        </w:rPr>
      </w:pPr>
      <w:r>
        <w:rPr>
          <w:bCs/>
          <w:iCs/>
          <w:lang w:val="en-US"/>
        </w:rPr>
        <w:t>- coeficientul de salarizare- 7,60</w:t>
      </w:r>
    </w:p>
    <w:p w14:paraId="458E9493">
      <w:pPr>
        <w:pStyle w:val="22"/>
        <w:tabs>
          <w:tab w:val="left" w:pos="851"/>
        </w:tabs>
        <w:ind w:left="567"/>
        <w:jc w:val="both"/>
        <w:rPr>
          <w:bCs/>
          <w:iCs/>
          <w:lang w:val="en-US"/>
        </w:rPr>
      </w:pPr>
      <w:r>
        <w:rPr>
          <w:bCs/>
          <w:iCs/>
          <w:lang w:val="en-US"/>
        </w:rPr>
        <w:t>- cuantumul salariului de bază stabilit- 18 240 lei;</w:t>
      </w:r>
    </w:p>
    <w:p w14:paraId="7C5FAE62">
      <w:pPr>
        <w:pStyle w:val="22"/>
        <w:tabs>
          <w:tab w:val="left" w:pos="851"/>
        </w:tabs>
        <w:ind w:left="567"/>
        <w:jc w:val="both"/>
        <w:rPr>
          <w:bCs/>
          <w:iCs/>
          <w:lang w:val="en-US"/>
        </w:rPr>
      </w:pPr>
      <w:r>
        <w:rPr>
          <w:bCs/>
          <w:iCs/>
          <w:lang w:val="en-US"/>
        </w:rPr>
        <w:t>- spor lunar în valoare fixă – 1300 lei;</w:t>
      </w:r>
    </w:p>
    <w:p w14:paraId="651C56FA">
      <w:pPr>
        <w:pStyle w:val="22"/>
        <w:tabs>
          <w:tab w:val="left" w:pos="851"/>
        </w:tabs>
        <w:ind w:left="567"/>
        <w:jc w:val="both"/>
        <w:rPr>
          <w:bCs/>
          <w:iCs/>
          <w:lang w:val="en-US"/>
        </w:rPr>
      </w:pPr>
      <w:r>
        <w:rPr>
          <w:bCs/>
          <w:iCs/>
          <w:lang w:val="en-US"/>
        </w:rPr>
        <w:t xml:space="preserve">- </w:t>
      </w:r>
      <w:r>
        <w:rPr>
          <w:bCs/>
          <w:iCs/>
          <w:lang w:val="es-ES"/>
        </w:rPr>
        <w:t>sporul pentru gradul profesional conferit anterior (</w:t>
      </w:r>
      <w:r>
        <w:rPr>
          <w:b/>
          <w:bCs/>
          <w:iCs/>
          <w:lang w:val="en-US"/>
        </w:rPr>
        <w:t>consilier de stat, clasa a II-a)</w:t>
      </w:r>
      <w:r>
        <w:rPr>
          <w:bCs/>
          <w:iCs/>
          <w:lang w:val="en-US"/>
        </w:rPr>
        <w:t>- 350 lei</w:t>
      </w:r>
    </w:p>
    <w:p w14:paraId="0991E396">
      <w:pPr>
        <w:pStyle w:val="22"/>
        <w:numPr>
          <w:ilvl w:val="0"/>
          <w:numId w:val="2"/>
        </w:numPr>
        <w:tabs>
          <w:tab w:val="left" w:pos="851"/>
        </w:tabs>
        <w:ind w:left="0" w:firstLine="567"/>
        <w:jc w:val="both"/>
        <w:rPr>
          <w:lang w:val="en-US"/>
        </w:rPr>
      </w:pPr>
      <w:r>
        <w:rPr>
          <w:lang w:val="en-US"/>
        </w:rPr>
        <w:t xml:space="preserve">Dna Mihaela LUCA va depune în termen de 30 de zile de la data reîncadrării declarația de avere și interese personale, conform prevederilor legislației în vigoare. </w:t>
      </w:r>
    </w:p>
    <w:p w14:paraId="6691093F">
      <w:pPr>
        <w:pStyle w:val="22"/>
        <w:numPr>
          <w:ilvl w:val="0"/>
          <w:numId w:val="2"/>
        </w:numPr>
        <w:tabs>
          <w:tab w:val="left" w:pos="851"/>
        </w:tabs>
        <w:ind w:left="0" w:firstLine="567"/>
        <w:jc w:val="both"/>
        <w:rPr>
          <w:lang w:val="ro-RO"/>
        </w:rPr>
      </w:pPr>
      <w:r>
        <w:rPr>
          <w:lang w:val="ro-RO"/>
        </w:rPr>
        <w:t xml:space="preserve">La data de 12.10.2026, </w:t>
      </w:r>
      <w:r>
        <w:rPr>
          <w:bCs/>
          <w:iCs/>
          <w:lang w:val="en-US"/>
        </w:rPr>
        <w:t>dna Angela MIHALIUC</w:t>
      </w:r>
      <w:r>
        <w:rPr>
          <w:lang w:val="ro-RO"/>
        </w:rPr>
        <w:t xml:space="preserve"> va preda dnei </w:t>
      </w:r>
      <w:r>
        <w:rPr>
          <w:lang w:val="en-US"/>
        </w:rPr>
        <w:t>Mihaela LUCA</w:t>
      </w:r>
      <w:r>
        <w:rPr>
          <w:lang w:val="ro-RO"/>
        </w:rPr>
        <w:t xml:space="preserve">, toate disponibilităţile care i-au fost încredinţate în vederea exercitării atribuţiilor funcției de </w:t>
      </w:r>
      <w:r>
        <w:rPr>
          <w:bCs/>
          <w:iCs/>
          <w:lang w:val="en-US"/>
        </w:rPr>
        <w:t>Secretară interimară a Consiliului raional</w:t>
      </w:r>
      <w:r>
        <w:rPr>
          <w:lang w:val="ro-RO"/>
        </w:rPr>
        <w:t>.</w:t>
      </w:r>
    </w:p>
    <w:p w14:paraId="03486CBC">
      <w:pPr>
        <w:pStyle w:val="22"/>
        <w:numPr>
          <w:ilvl w:val="0"/>
          <w:numId w:val="2"/>
        </w:numPr>
        <w:tabs>
          <w:tab w:val="left" w:pos="0"/>
          <w:tab w:val="left" w:pos="851"/>
          <w:tab w:val="left" w:pos="993"/>
        </w:tabs>
        <w:ind w:left="0" w:firstLine="567"/>
        <w:contextualSpacing/>
        <w:jc w:val="both"/>
        <w:rPr>
          <w:lang w:val="ro-RO"/>
        </w:rPr>
      </w:pPr>
      <w:r>
        <w:rPr>
          <w:lang w:val="en-US"/>
        </w:rPr>
        <w:t>Controlul asupra realizării prezentei decizii</w:t>
      </w:r>
      <w:r>
        <w:rPr>
          <w:lang w:val="ro-RO"/>
        </w:rPr>
        <w:t xml:space="preserve"> se pune în sarcina Președintelui Comisiei consultative pentru Etică, legislație, ordine și drepturile omului (Iurie VIERU).</w:t>
      </w:r>
    </w:p>
    <w:p w14:paraId="67F8A708">
      <w:pPr>
        <w:pStyle w:val="22"/>
        <w:numPr>
          <w:ilvl w:val="0"/>
          <w:numId w:val="2"/>
        </w:numPr>
        <w:tabs>
          <w:tab w:val="left" w:pos="0"/>
          <w:tab w:val="left" w:pos="851"/>
          <w:tab w:val="left" w:pos="993"/>
        </w:tabs>
        <w:ind w:left="0" w:firstLine="567"/>
        <w:contextualSpacing/>
        <w:jc w:val="both"/>
        <w:rPr>
          <w:lang w:val="ro-RO"/>
        </w:rPr>
      </w:pPr>
      <w:r>
        <w:rPr>
          <w:rFonts w:eastAsia="Calibri"/>
          <w:bCs/>
          <w:lang w:val="ro-RO" w:eastAsia="en-US"/>
        </w:rPr>
        <w:t>Prezenta decizie poate fi contestată la Judecătoria Bălți (sediul Central, str. Hotinului, nr. 43) în termen de 30 zile de la data comunicării, potrivit prevederilor Codului Administrativ al Republicii Moldova nr. 116/2018.</w:t>
      </w:r>
    </w:p>
    <w:p w14:paraId="49D1CC8D">
      <w:pPr>
        <w:pStyle w:val="22"/>
        <w:tabs>
          <w:tab w:val="left" w:pos="1134"/>
        </w:tabs>
        <w:ind w:left="709"/>
        <w:contextualSpacing/>
        <w:jc w:val="center"/>
        <w:rPr>
          <w:rFonts w:eastAsia="Calibri"/>
          <w:bCs/>
          <w:sz w:val="22"/>
          <w:szCs w:val="22"/>
          <w:lang w:val="ro-RO" w:eastAsia="en-US"/>
        </w:rPr>
      </w:pPr>
      <w:r>
        <w:rPr>
          <w:b/>
          <w:sz w:val="22"/>
          <w:szCs w:val="22"/>
          <w:lang w:val="ro-RO"/>
        </w:rPr>
        <w:t>PREȘEDINTE</w:t>
      </w:r>
    </w:p>
    <w:p w14:paraId="7F4C67BD">
      <w:pPr>
        <w:jc w:val="center"/>
        <w:rPr>
          <w:b/>
          <w:sz w:val="22"/>
          <w:szCs w:val="22"/>
          <w:lang w:val="ro-RO"/>
        </w:rPr>
      </w:pPr>
      <w:r>
        <w:rPr>
          <w:b/>
          <w:sz w:val="22"/>
          <w:szCs w:val="22"/>
          <w:lang w:val="ro-RO"/>
        </w:rPr>
        <w:t xml:space="preserve">              Cristian CAINARIAN</w:t>
      </w:r>
    </w:p>
    <w:p w14:paraId="7CAA7308">
      <w:pPr>
        <w:pStyle w:val="22"/>
        <w:tabs>
          <w:tab w:val="left" w:pos="1134"/>
        </w:tabs>
        <w:ind w:left="709"/>
        <w:contextualSpacing/>
        <w:jc w:val="center"/>
        <w:rPr>
          <w:b/>
          <w:sz w:val="22"/>
          <w:szCs w:val="22"/>
          <w:lang w:val="ro-RO"/>
        </w:rPr>
      </w:pPr>
      <w:r>
        <w:rPr>
          <w:b/>
          <w:sz w:val="22"/>
          <w:szCs w:val="22"/>
          <w:lang w:val="ro-RO"/>
        </w:rPr>
        <w:t>______________________</w:t>
      </w:r>
    </w:p>
    <w:tbl>
      <w:tblPr>
        <w:tblStyle w:val="20"/>
        <w:tblW w:w="9571" w:type="dxa"/>
        <w:tblInd w:w="79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5"/>
        <w:gridCol w:w="4786"/>
      </w:tblGrid>
      <w:tr w14:paraId="3F398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5" w:type="dxa"/>
          </w:tcPr>
          <w:p w14:paraId="34C6D401">
            <w:pPr>
              <w:ind w:left="-284"/>
              <w:jc w:val="center"/>
              <w:rPr>
                <w:b/>
                <w:lang w:val="en-US"/>
              </w:rPr>
            </w:pPr>
            <w:r>
              <w:rPr>
                <w:b/>
                <w:lang w:val="en-US"/>
              </w:rPr>
              <w:t>CONTRASEMNEAZĂ</w:t>
            </w:r>
          </w:p>
          <w:p w14:paraId="78D7441F">
            <w:pPr>
              <w:ind w:left="-284"/>
              <w:jc w:val="center"/>
              <w:rPr>
                <w:b/>
                <w:lang w:val="en-US"/>
              </w:rPr>
            </w:pPr>
            <w:r>
              <w:rPr>
                <w:b/>
                <w:lang w:val="en-US"/>
              </w:rPr>
              <w:t>Secretară Interimară a Consiliului raional</w:t>
            </w:r>
          </w:p>
          <w:p w14:paraId="2436A0AC">
            <w:pPr>
              <w:ind w:left="-284"/>
              <w:jc w:val="center"/>
              <w:rPr>
                <w:b/>
                <w:lang w:val="en-US"/>
              </w:rPr>
            </w:pPr>
            <w:r>
              <w:rPr>
                <w:b/>
                <w:lang w:val="en-US"/>
              </w:rPr>
              <w:t>Angela MIHALIUC</w:t>
            </w:r>
          </w:p>
          <w:p w14:paraId="0171C10F">
            <w:pPr>
              <w:ind w:left="-284"/>
              <w:jc w:val="center"/>
              <w:rPr>
                <w:lang w:val="en-US"/>
              </w:rPr>
            </w:pPr>
            <w:r>
              <w:rPr>
                <w:lang w:val="en-US"/>
              </w:rPr>
              <w:t>__________________________</w:t>
            </w:r>
          </w:p>
        </w:tc>
        <w:tc>
          <w:tcPr>
            <w:tcW w:w="4786" w:type="dxa"/>
          </w:tcPr>
          <w:p w14:paraId="16A924FE">
            <w:pPr>
              <w:jc w:val="center"/>
              <w:rPr>
                <w:b/>
                <w:lang w:val="en-US"/>
              </w:rPr>
            </w:pPr>
            <w:r>
              <w:rPr>
                <w:b/>
                <w:lang w:val="en-US"/>
              </w:rPr>
              <w:t>COORDONAT</w:t>
            </w:r>
          </w:p>
          <w:p w14:paraId="38ACF36C">
            <w:pPr>
              <w:jc w:val="center"/>
              <w:rPr>
                <w:b/>
                <w:bCs/>
                <w:iCs/>
                <w:lang w:val="en-US"/>
              </w:rPr>
            </w:pPr>
            <w:r>
              <w:rPr>
                <w:b/>
                <w:bCs/>
                <w:iCs/>
                <w:lang w:val="en-US"/>
              </w:rPr>
              <w:t>Şefă, Serviciul Financiar, contabilă-șefă</w:t>
            </w:r>
          </w:p>
          <w:p w14:paraId="2F908FB0">
            <w:pPr>
              <w:jc w:val="center"/>
              <w:rPr>
                <w:b/>
                <w:bCs/>
                <w:iCs/>
                <w:lang w:val="en-US"/>
              </w:rPr>
            </w:pPr>
            <w:r>
              <w:rPr>
                <w:b/>
                <w:bCs/>
                <w:iCs/>
                <w:lang w:val="en-US"/>
              </w:rPr>
              <w:t>Ala DOAGĂ</w:t>
            </w:r>
          </w:p>
          <w:p w14:paraId="7481F92A">
            <w:pPr>
              <w:ind w:left="-284"/>
              <w:jc w:val="center"/>
              <w:rPr>
                <w:lang w:val="en-US"/>
              </w:rPr>
            </w:pPr>
            <w:r>
              <w:rPr>
                <w:bCs/>
                <w:iCs/>
                <w:lang w:val="en-US"/>
              </w:rPr>
              <w:t>_________________________</w:t>
            </w:r>
          </w:p>
        </w:tc>
      </w:tr>
      <w:tr w14:paraId="57BE9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0" w:hRule="atLeast"/>
        </w:trPr>
        <w:tc>
          <w:tcPr>
            <w:tcW w:w="4785" w:type="dxa"/>
          </w:tcPr>
          <w:p w14:paraId="1CDB3C3E">
            <w:pPr>
              <w:jc w:val="center"/>
              <w:rPr>
                <w:b/>
                <w:lang w:val="en-US"/>
              </w:rPr>
            </w:pPr>
          </w:p>
          <w:p w14:paraId="6CC781C8">
            <w:pPr>
              <w:jc w:val="center"/>
              <w:rPr>
                <w:b/>
                <w:lang w:val="en-US"/>
              </w:rPr>
            </w:pPr>
            <w:r>
              <w:rPr>
                <w:b/>
                <w:lang w:val="en-US"/>
              </w:rPr>
              <w:t>ÎNTOCMIT</w:t>
            </w:r>
          </w:p>
          <w:p w14:paraId="5F4ACE17">
            <w:pPr>
              <w:jc w:val="center"/>
              <w:rPr>
                <w:b/>
                <w:lang w:val="ro-RO"/>
              </w:rPr>
            </w:pPr>
            <w:r>
              <w:rPr>
                <w:b/>
                <w:lang w:val="ro-RO"/>
              </w:rPr>
              <w:t>Secția Juridică și Resurse Umane</w:t>
            </w:r>
          </w:p>
          <w:p w14:paraId="5052941B">
            <w:pPr>
              <w:jc w:val="center"/>
              <w:rPr>
                <w:b/>
                <w:lang w:val="en-US"/>
              </w:rPr>
            </w:pPr>
            <w:r>
              <w:rPr>
                <w:b/>
                <w:lang w:val="en-US"/>
              </w:rPr>
              <w:t>Aliona CRĂCIUN</w:t>
            </w:r>
          </w:p>
          <w:p w14:paraId="6BE79E28">
            <w:pPr>
              <w:ind w:left="-284"/>
              <w:jc w:val="center"/>
              <w:rPr>
                <w:lang w:val="en-US"/>
              </w:rPr>
            </w:pPr>
            <w:r>
              <w:rPr>
                <w:lang w:val="en-US"/>
              </w:rPr>
              <w:t>_________________________</w:t>
            </w:r>
          </w:p>
        </w:tc>
        <w:tc>
          <w:tcPr>
            <w:tcW w:w="4786" w:type="dxa"/>
          </w:tcPr>
          <w:p w14:paraId="2CECF239">
            <w:pPr>
              <w:jc w:val="center"/>
              <w:rPr>
                <w:b/>
                <w:lang w:val="ro-RO"/>
              </w:rPr>
            </w:pPr>
          </w:p>
          <w:p w14:paraId="3D0EF24B">
            <w:pPr>
              <w:jc w:val="center"/>
              <w:rPr>
                <w:b/>
                <w:lang w:val="ro-RO"/>
              </w:rPr>
            </w:pPr>
            <w:r>
              <w:rPr>
                <w:b/>
                <w:lang w:val="ro-RO"/>
              </w:rPr>
              <w:t>COORDONAT</w:t>
            </w:r>
          </w:p>
          <w:p w14:paraId="1C69A488">
            <w:pPr>
              <w:jc w:val="center"/>
              <w:rPr>
                <w:b/>
                <w:bCs/>
                <w:iCs/>
                <w:lang w:val="ro-RO"/>
              </w:rPr>
            </w:pPr>
            <w:r>
              <w:rPr>
                <w:b/>
                <w:bCs/>
                <w:iCs/>
                <w:lang w:val="ro-RO"/>
              </w:rPr>
              <w:t xml:space="preserve">Şefă, </w:t>
            </w:r>
            <w:r>
              <w:rPr>
                <w:rFonts w:eastAsia="Calibri"/>
                <w:b/>
                <w:bCs/>
                <w:iCs/>
                <w:lang w:val="en-US" w:eastAsia="en-US"/>
              </w:rPr>
              <w:t>Secția Juridică și  Resurse Umane</w:t>
            </w:r>
          </w:p>
          <w:p w14:paraId="3C1A3B74">
            <w:pPr>
              <w:spacing w:line="259" w:lineRule="auto"/>
              <w:jc w:val="center"/>
              <w:rPr>
                <w:rFonts w:eastAsia="Calibri"/>
                <w:b/>
                <w:lang w:val="en-US" w:eastAsia="en-US"/>
              </w:rPr>
            </w:pPr>
            <w:r>
              <w:rPr>
                <w:rFonts w:eastAsia="Calibri"/>
                <w:b/>
                <w:lang w:val="en-US" w:eastAsia="en-US"/>
              </w:rPr>
              <w:t>Oxana TABARCEA</w:t>
            </w:r>
          </w:p>
          <w:p w14:paraId="42095474">
            <w:pPr>
              <w:ind w:left="-284"/>
              <w:jc w:val="center"/>
              <w:rPr>
                <w:lang w:val="en-US"/>
              </w:rPr>
            </w:pPr>
            <w:r>
              <w:rPr>
                <w:rFonts w:eastAsia="Calibri"/>
                <w:b/>
                <w:lang w:val="en-US" w:eastAsia="en-US"/>
              </w:rPr>
              <w:t>_____________________</w:t>
            </w:r>
          </w:p>
        </w:tc>
      </w:tr>
    </w:tbl>
    <w:p w14:paraId="5FC06FAB">
      <w:pPr>
        <w:jc w:val="right"/>
        <w:rPr>
          <w:bCs/>
          <w:iCs/>
          <w:sz w:val="20"/>
          <w:szCs w:val="20"/>
          <w:lang w:val="ro-RO"/>
        </w:rPr>
      </w:pPr>
    </w:p>
    <w:sectPr>
      <w:pgSz w:w="11906" w:h="16838"/>
      <w:pgMar w:top="284" w:right="850" w:bottom="0"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Times New Roma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Georgia">
    <w:panose1 w:val="02040502050405020303"/>
    <w:charset w:val="CC"/>
    <w:family w:val="roman"/>
    <w:pitch w:val="default"/>
    <w:sig w:usb0="00000287" w:usb1="00000000" w:usb2="00000000" w:usb3="00000000" w:csb0="2000009F"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3249CA"/>
    <w:multiLevelType w:val="multilevel"/>
    <w:tmpl w:val="1D3249CA"/>
    <w:lvl w:ilvl="0" w:tentative="0">
      <w:start w:val="1"/>
      <w:numFmt w:val="decimal"/>
      <w:lvlText w:val="%1."/>
      <w:lvlJc w:val="left"/>
      <w:pPr>
        <w:ind w:left="780" w:hanging="360"/>
      </w:pPr>
      <w:rPr>
        <w:rFonts w:hint="default"/>
        <w:b w:val="0"/>
        <w:color w:val="auto"/>
      </w:rPr>
    </w:lvl>
    <w:lvl w:ilvl="1" w:tentative="0">
      <w:start w:val="2"/>
      <w:numFmt w:val="decimal"/>
      <w:isLgl/>
      <w:lvlText w:val="%1.%2."/>
      <w:lvlJc w:val="left"/>
      <w:pPr>
        <w:ind w:left="927" w:hanging="360"/>
      </w:pPr>
      <w:rPr>
        <w:rFonts w:hint="default"/>
        <w:color w:val="000000" w:themeColor="text1"/>
      </w:rPr>
    </w:lvl>
    <w:lvl w:ilvl="2" w:tentative="0">
      <w:start w:val="1"/>
      <w:numFmt w:val="decimal"/>
      <w:isLgl/>
      <w:lvlText w:val="%1.%2.%3."/>
      <w:lvlJc w:val="left"/>
      <w:pPr>
        <w:ind w:left="1434" w:hanging="720"/>
      </w:pPr>
      <w:rPr>
        <w:rFonts w:hint="default"/>
        <w:color w:val="000000" w:themeColor="text1"/>
      </w:rPr>
    </w:lvl>
    <w:lvl w:ilvl="3" w:tentative="0">
      <w:start w:val="1"/>
      <w:numFmt w:val="decimal"/>
      <w:isLgl/>
      <w:lvlText w:val="%1.%2.%3.%4."/>
      <w:lvlJc w:val="left"/>
      <w:pPr>
        <w:ind w:left="1581" w:hanging="720"/>
      </w:pPr>
      <w:rPr>
        <w:rFonts w:hint="default"/>
        <w:color w:val="000000" w:themeColor="text1"/>
      </w:rPr>
    </w:lvl>
    <w:lvl w:ilvl="4" w:tentative="0">
      <w:start w:val="1"/>
      <w:numFmt w:val="decimal"/>
      <w:isLgl/>
      <w:lvlText w:val="%1.%2.%3.%4.%5."/>
      <w:lvlJc w:val="left"/>
      <w:pPr>
        <w:ind w:left="2088" w:hanging="1080"/>
      </w:pPr>
      <w:rPr>
        <w:rFonts w:hint="default"/>
        <w:color w:val="000000" w:themeColor="text1"/>
      </w:rPr>
    </w:lvl>
    <w:lvl w:ilvl="5" w:tentative="0">
      <w:start w:val="1"/>
      <w:numFmt w:val="decimal"/>
      <w:isLgl/>
      <w:lvlText w:val="%1.%2.%3.%4.%5.%6."/>
      <w:lvlJc w:val="left"/>
      <w:pPr>
        <w:ind w:left="2235" w:hanging="1080"/>
      </w:pPr>
      <w:rPr>
        <w:rFonts w:hint="default"/>
        <w:color w:val="000000" w:themeColor="text1"/>
      </w:rPr>
    </w:lvl>
    <w:lvl w:ilvl="6" w:tentative="0">
      <w:start w:val="1"/>
      <w:numFmt w:val="decimal"/>
      <w:isLgl/>
      <w:lvlText w:val="%1.%2.%3.%4.%5.%6.%7."/>
      <w:lvlJc w:val="left"/>
      <w:pPr>
        <w:ind w:left="2742" w:hanging="1440"/>
      </w:pPr>
      <w:rPr>
        <w:rFonts w:hint="default"/>
        <w:color w:val="000000" w:themeColor="text1"/>
      </w:rPr>
    </w:lvl>
    <w:lvl w:ilvl="7" w:tentative="0">
      <w:start w:val="1"/>
      <w:numFmt w:val="decimal"/>
      <w:isLgl/>
      <w:lvlText w:val="%1.%2.%3.%4.%5.%6.%7.%8."/>
      <w:lvlJc w:val="left"/>
      <w:pPr>
        <w:ind w:left="2889" w:hanging="1440"/>
      </w:pPr>
      <w:rPr>
        <w:rFonts w:hint="default"/>
        <w:color w:val="000000" w:themeColor="text1"/>
      </w:rPr>
    </w:lvl>
    <w:lvl w:ilvl="8" w:tentative="0">
      <w:start w:val="1"/>
      <w:numFmt w:val="decimal"/>
      <w:isLgl/>
      <w:lvlText w:val="%1.%2.%3.%4.%5.%6.%7.%8.%9."/>
      <w:lvlJc w:val="left"/>
      <w:pPr>
        <w:ind w:left="3396" w:hanging="1800"/>
      </w:pPr>
      <w:rPr>
        <w:rFonts w:hint="default"/>
        <w:color w:val="000000" w:themeColor="text1"/>
      </w:rPr>
    </w:lvl>
  </w:abstractNum>
  <w:abstractNum w:abstractNumId="1">
    <w:nsid w:val="683B5ACF"/>
    <w:multiLevelType w:val="multilevel"/>
    <w:tmpl w:val="683B5ACF"/>
    <w:lvl w:ilvl="0" w:tentative="0">
      <w:start w:val="1"/>
      <w:numFmt w:val="decimal"/>
      <w:lvlText w:val="(%1)"/>
      <w:lvlJc w:val="left"/>
      <w:pPr>
        <w:tabs>
          <w:tab w:val="left" w:pos="780"/>
        </w:tabs>
        <w:ind w:left="780" w:hanging="420"/>
      </w:pPr>
      <w:rPr>
        <w:rFonts w:hint="default"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9B6"/>
    <w:rsid w:val="000201AB"/>
    <w:rsid w:val="00027184"/>
    <w:rsid w:val="00065F56"/>
    <w:rsid w:val="00070D02"/>
    <w:rsid w:val="00081B6E"/>
    <w:rsid w:val="000A4234"/>
    <w:rsid w:val="000A6FDA"/>
    <w:rsid w:val="000C1885"/>
    <w:rsid w:val="000D64FD"/>
    <w:rsid w:val="000D71BA"/>
    <w:rsid w:val="00124959"/>
    <w:rsid w:val="001321E7"/>
    <w:rsid w:val="001505FF"/>
    <w:rsid w:val="00166AD6"/>
    <w:rsid w:val="0017515D"/>
    <w:rsid w:val="0019153A"/>
    <w:rsid w:val="001919DB"/>
    <w:rsid w:val="001A6783"/>
    <w:rsid w:val="001C28BB"/>
    <w:rsid w:val="001D195B"/>
    <w:rsid w:val="001D59B0"/>
    <w:rsid w:val="001F15F7"/>
    <w:rsid w:val="00202BB4"/>
    <w:rsid w:val="00203DF8"/>
    <w:rsid w:val="002256B2"/>
    <w:rsid w:val="00227381"/>
    <w:rsid w:val="002309D1"/>
    <w:rsid w:val="00232E9E"/>
    <w:rsid w:val="00237951"/>
    <w:rsid w:val="0025358D"/>
    <w:rsid w:val="002535F5"/>
    <w:rsid w:val="00263180"/>
    <w:rsid w:val="0028612C"/>
    <w:rsid w:val="002A385B"/>
    <w:rsid w:val="002D5B37"/>
    <w:rsid w:val="002E1CC7"/>
    <w:rsid w:val="002F02C6"/>
    <w:rsid w:val="00314F72"/>
    <w:rsid w:val="003324EC"/>
    <w:rsid w:val="0033377F"/>
    <w:rsid w:val="00355ABD"/>
    <w:rsid w:val="003608F7"/>
    <w:rsid w:val="0038178B"/>
    <w:rsid w:val="003A2855"/>
    <w:rsid w:val="003B4566"/>
    <w:rsid w:val="003D3842"/>
    <w:rsid w:val="003E7392"/>
    <w:rsid w:val="003E7F7D"/>
    <w:rsid w:val="0040024B"/>
    <w:rsid w:val="004159E6"/>
    <w:rsid w:val="00421DF2"/>
    <w:rsid w:val="00436227"/>
    <w:rsid w:val="00436DD5"/>
    <w:rsid w:val="00457CC0"/>
    <w:rsid w:val="00474F91"/>
    <w:rsid w:val="004806F4"/>
    <w:rsid w:val="004B52B7"/>
    <w:rsid w:val="004D3BAD"/>
    <w:rsid w:val="00500BC9"/>
    <w:rsid w:val="00516F61"/>
    <w:rsid w:val="00531F50"/>
    <w:rsid w:val="00547949"/>
    <w:rsid w:val="00554DD4"/>
    <w:rsid w:val="0058408F"/>
    <w:rsid w:val="005875CD"/>
    <w:rsid w:val="005A3266"/>
    <w:rsid w:val="005A3FBD"/>
    <w:rsid w:val="005E6D21"/>
    <w:rsid w:val="005F3248"/>
    <w:rsid w:val="005F5490"/>
    <w:rsid w:val="00627E53"/>
    <w:rsid w:val="006321B1"/>
    <w:rsid w:val="00634148"/>
    <w:rsid w:val="00640AB1"/>
    <w:rsid w:val="006477FF"/>
    <w:rsid w:val="00656701"/>
    <w:rsid w:val="0066069B"/>
    <w:rsid w:val="006766FC"/>
    <w:rsid w:val="006B335C"/>
    <w:rsid w:val="006C18A3"/>
    <w:rsid w:val="006D522F"/>
    <w:rsid w:val="006F6CC6"/>
    <w:rsid w:val="00704AC2"/>
    <w:rsid w:val="0071296E"/>
    <w:rsid w:val="00716D9B"/>
    <w:rsid w:val="00724A32"/>
    <w:rsid w:val="00750465"/>
    <w:rsid w:val="007702C1"/>
    <w:rsid w:val="007749B6"/>
    <w:rsid w:val="00796E8A"/>
    <w:rsid w:val="007D43E0"/>
    <w:rsid w:val="007D6B28"/>
    <w:rsid w:val="007E123A"/>
    <w:rsid w:val="007E3FCA"/>
    <w:rsid w:val="007F3FB4"/>
    <w:rsid w:val="008300D6"/>
    <w:rsid w:val="0085067B"/>
    <w:rsid w:val="00865003"/>
    <w:rsid w:val="00881517"/>
    <w:rsid w:val="008B3E04"/>
    <w:rsid w:val="008C3B76"/>
    <w:rsid w:val="008D1711"/>
    <w:rsid w:val="008D328B"/>
    <w:rsid w:val="008D4534"/>
    <w:rsid w:val="008D5561"/>
    <w:rsid w:val="008E73D3"/>
    <w:rsid w:val="008F69EF"/>
    <w:rsid w:val="009003AA"/>
    <w:rsid w:val="00923351"/>
    <w:rsid w:val="00927B8F"/>
    <w:rsid w:val="00935B18"/>
    <w:rsid w:val="00960690"/>
    <w:rsid w:val="0096106A"/>
    <w:rsid w:val="00964D6C"/>
    <w:rsid w:val="009701D3"/>
    <w:rsid w:val="009A4C82"/>
    <w:rsid w:val="009B2B4D"/>
    <w:rsid w:val="009C6080"/>
    <w:rsid w:val="009D70F2"/>
    <w:rsid w:val="009E4FE1"/>
    <w:rsid w:val="009E5324"/>
    <w:rsid w:val="009F1A5E"/>
    <w:rsid w:val="009F33CE"/>
    <w:rsid w:val="00A12535"/>
    <w:rsid w:val="00A12D12"/>
    <w:rsid w:val="00A5607F"/>
    <w:rsid w:val="00A66A36"/>
    <w:rsid w:val="00A73163"/>
    <w:rsid w:val="00AD70D8"/>
    <w:rsid w:val="00AF3D6D"/>
    <w:rsid w:val="00B01B93"/>
    <w:rsid w:val="00B27E4A"/>
    <w:rsid w:val="00B40161"/>
    <w:rsid w:val="00B62F5D"/>
    <w:rsid w:val="00B832BC"/>
    <w:rsid w:val="00B8385B"/>
    <w:rsid w:val="00B93860"/>
    <w:rsid w:val="00BB0346"/>
    <w:rsid w:val="00BB67C7"/>
    <w:rsid w:val="00BD2974"/>
    <w:rsid w:val="00BE66A6"/>
    <w:rsid w:val="00C05302"/>
    <w:rsid w:val="00C26727"/>
    <w:rsid w:val="00C320ED"/>
    <w:rsid w:val="00C477F5"/>
    <w:rsid w:val="00C608FD"/>
    <w:rsid w:val="00C6355A"/>
    <w:rsid w:val="00C66CCA"/>
    <w:rsid w:val="00C7050E"/>
    <w:rsid w:val="00C72AEA"/>
    <w:rsid w:val="00C72C0A"/>
    <w:rsid w:val="00CA6E0F"/>
    <w:rsid w:val="00CB4CD9"/>
    <w:rsid w:val="00CE6F56"/>
    <w:rsid w:val="00D01F21"/>
    <w:rsid w:val="00D205F2"/>
    <w:rsid w:val="00D2563A"/>
    <w:rsid w:val="00D36A92"/>
    <w:rsid w:val="00D3712C"/>
    <w:rsid w:val="00D40963"/>
    <w:rsid w:val="00D4410C"/>
    <w:rsid w:val="00D92014"/>
    <w:rsid w:val="00DD3725"/>
    <w:rsid w:val="00E02395"/>
    <w:rsid w:val="00E10FF9"/>
    <w:rsid w:val="00E170CE"/>
    <w:rsid w:val="00E24260"/>
    <w:rsid w:val="00E43CE2"/>
    <w:rsid w:val="00E54D0F"/>
    <w:rsid w:val="00E57B87"/>
    <w:rsid w:val="00E70BC0"/>
    <w:rsid w:val="00E953FE"/>
    <w:rsid w:val="00EA46E7"/>
    <w:rsid w:val="00EB5E8E"/>
    <w:rsid w:val="00EC1781"/>
    <w:rsid w:val="00EC1AA9"/>
    <w:rsid w:val="00EE0A7E"/>
    <w:rsid w:val="00F1585E"/>
    <w:rsid w:val="00F4073E"/>
    <w:rsid w:val="00F95597"/>
    <w:rsid w:val="00FA0190"/>
    <w:rsid w:val="00FB51FC"/>
    <w:rsid w:val="00FB56A1"/>
    <w:rsid w:val="00FC0DCD"/>
    <w:rsid w:val="00FC3FC2"/>
    <w:rsid w:val="00FC775B"/>
    <w:rsid w:val="00FE177F"/>
    <w:rsid w:val="00FE6816"/>
    <w:rsid w:val="00FF004E"/>
    <w:rsid w:val="00FF2C68"/>
    <w:rsid w:val="00FF4826"/>
    <w:rsid w:val="00FF5487"/>
    <w:rsid w:val="2B382A3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paragraph" w:styleId="2">
    <w:name w:val="heading 1"/>
    <w:basedOn w:val="1"/>
    <w:next w:val="1"/>
    <w:link w:val="21"/>
    <w:qFormat/>
    <w:uiPriority w:val="0"/>
    <w:pPr>
      <w:keepNext/>
      <w:outlineLvl w:val="0"/>
    </w:pPr>
    <w:rPr>
      <w:b/>
      <w:sz w:val="28"/>
      <w:szCs w:val="20"/>
      <w:lang w:val="en-US"/>
    </w:rPr>
  </w:style>
  <w:style w:type="paragraph" w:styleId="3">
    <w:name w:val="heading 2"/>
    <w:basedOn w:val="1"/>
    <w:next w:val="1"/>
    <w:link w:val="32"/>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27"/>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9"/>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paragraph" w:styleId="6">
    <w:name w:val="heading 5"/>
    <w:basedOn w:val="1"/>
    <w:next w:val="1"/>
    <w:link w:val="33"/>
    <w:unhideWhenUsed/>
    <w:qFormat/>
    <w:uiPriority w:val="9"/>
    <w:pPr>
      <w:keepNext/>
      <w:keepLines/>
      <w:spacing w:before="200"/>
      <w:outlineLvl w:val="4"/>
    </w:pPr>
    <w:rPr>
      <w:rFonts w:asciiTheme="majorHAnsi" w:hAnsiTheme="majorHAnsi" w:eastAsiaTheme="majorEastAsia" w:cstheme="majorBidi"/>
      <w:color w:val="243F61" w:themeColor="accent1" w:themeShade="7F"/>
    </w:rPr>
  </w:style>
  <w:style w:type="paragraph" w:styleId="7">
    <w:name w:val="heading 6"/>
    <w:basedOn w:val="1"/>
    <w:next w:val="1"/>
    <w:link w:val="34"/>
    <w:unhideWhenUsed/>
    <w:qFormat/>
    <w:uiPriority w:val="9"/>
    <w:pPr>
      <w:keepNext/>
      <w:keepLines/>
      <w:spacing w:before="200"/>
      <w:outlineLvl w:val="5"/>
    </w:pPr>
    <w:rPr>
      <w:rFonts w:asciiTheme="majorHAnsi" w:hAnsiTheme="majorHAnsi" w:eastAsiaTheme="majorEastAsia" w:cstheme="majorBidi"/>
      <w:i/>
      <w:iCs/>
      <w:color w:val="243F61" w:themeColor="accent1" w:themeShade="7F"/>
    </w:rPr>
  </w:style>
  <w:style w:type="paragraph" w:styleId="8">
    <w:name w:val="heading 7"/>
    <w:basedOn w:val="1"/>
    <w:next w:val="1"/>
    <w:link w:val="35"/>
    <w:unhideWhenUsed/>
    <w:qFormat/>
    <w:uiPriority w:val="9"/>
    <w:pPr>
      <w:keepNext/>
      <w:keepLines/>
      <w:spacing w:before="200"/>
      <w:outlineLvl w:val="6"/>
    </w:pPr>
    <w:rPr>
      <w:rFonts w:asciiTheme="majorHAnsi" w:hAnsiTheme="majorHAnsi" w:eastAsiaTheme="majorEastAsia" w:cstheme="majorBidi"/>
      <w:i/>
      <w:iCs/>
      <w:color w:val="3F3F3F" w:themeColor="text1" w:themeTint="BF"/>
    </w:rPr>
  </w:style>
  <w:style w:type="paragraph" w:styleId="9">
    <w:name w:val="heading 8"/>
    <w:basedOn w:val="1"/>
    <w:next w:val="1"/>
    <w:link w:val="36"/>
    <w:unhideWhenUsed/>
    <w:qFormat/>
    <w:uiPriority w:val="9"/>
    <w:pPr>
      <w:keepNext/>
      <w:keepLines/>
      <w:spacing w:before="200"/>
      <w:outlineLvl w:val="7"/>
    </w:pPr>
    <w:rPr>
      <w:rFonts w:asciiTheme="majorHAnsi" w:hAnsiTheme="majorHAnsi" w:eastAsiaTheme="majorEastAsia" w:cstheme="majorBidi"/>
      <w:color w:val="3F3F3F" w:themeColor="text1" w:themeTint="BF"/>
      <w:sz w:val="20"/>
      <w:szCs w:val="20"/>
    </w:rPr>
  </w:style>
  <w:style w:type="character" w:default="1" w:styleId="10">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character" w:styleId="12">
    <w:name w:val="Strong"/>
    <w:basedOn w:val="10"/>
    <w:qFormat/>
    <w:uiPriority w:val="22"/>
    <w:rPr>
      <w:b/>
      <w:bCs/>
    </w:rPr>
  </w:style>
  <w:style w:type="paragraph" w:styleId="13">
    <w:name w:val="Balloon Text"/>
    <w:basedOn w:val="1"/>
    <w:link w:val="25"/>
    <w:semiHidden/>
    <w:unhideWhenUsed/>
    <w:uiPriority w:val="99"/>
    <w:rPr>
      <w:rFonts w:ascii="Tahoma" w:hAnsi="Tahoma" w:cs="Tahoma"/>
      <w:sz w:val="16"/>
      <w:szCs w:val="16"/>
    </w:rPr>
  </w:style>
  <w:style w:type="paragraph" w:styleId="14">
    <w:name w:val="Body Text 2"/>
    <w:basedOn w:val="1"/>
    <w:link w:val="26"/>
    <w:qFormat/>
    <w:uiPriority w:val="0"/>
    <w:pPr>
      <w:spacing w:after="120" w:line="480" w:lineRule="auto"/>
    </w:pPr>
  </w:style>
  <w:style w:type="paragraph" w:styleId="15">
    <w:name w:val="header"/>
    <w:basedOn w:val="1"/>
    <w:link w:val="30"/>
    <w:unhideWhenUsed/>
    <w:qFormat/>
    <w:uiPriority w:val="99"/>
    <w:pPr>
      <w:tabs>
        <w:tab w:val="center" w:pos="4677"/>
        <w:tab w:val="right" w:pos="9355"/>
      </w:tabs>
    </w:pPr>
  </w:style>
  <w:style w:type="paragraph" w:styleId="16">
    <w:name w:val="Body Text"/>
    <w:basedOn w:val="1"/>
    <w:link w:val="28"/>
    <w:unhideWhenUsed/>
    <w:uiPriority w:val="99"/>
    <w:pPr>
      <w:spacing w:after="120"/>
    </w:pPr>
  </w:style>
  <w:style w:type="paragraph" w:styleId="17">
    <w:name w:val="footer"/>
    <w:basedOn w:val="1"/>
    <w:link w:val="31"/>
    <w:unhideWhenUsed/>
    <w:qFormat/>
    <w:uiPriority w:val="99"/>
    <w:pPr>
      <w:tabs>
        <w:tab w:val="center" w:pos="4677"/>
        <w:tab w:val="right" w:pos="9355"/>
      </w:tabs>
    </w:pPr>
  </w:style>
  <w:style w:type="paragraph" w:styleId="18">
    <w:name w:val="Normal (Web)"/>
    <w:basedOn w:val="1"/>
    <w:unhideWhenUsed/>
    <w:qFormat/>
    <w:uiPriority w:val="99"/>
    <w:pPr>
      <w:spacing w:before="100" w:beforeAutospacing="1" w:after="100" w:afterAutospacing="1"/>
    </w:pPr>
  </w:style>
  <w:style w:type="paragraph" w:styleId="19">
    <w:name w:val="Body Text 3"/>
    <w:basedOn w:val="1"/>
    <w:link w:val="38"/>
    <w:semiHidden/>
    <w:unhideWhenUsed/>
    <w:qFormat/>
    <w:uiPriority w:val="99"/>
    <w:pPr>
      <w:spacing w:after="120"/>
    </w:pPr>
    <w:rPr>
      <w:sz w:val="16"/>
      <w:szCs w:val="16"/>
    </w:rPr>
  </w:style>
  <w:style w:type="table" w:styleId="20">
    <w:name w:val="Table Grid"/>
    <w:basedOn w:val="11"/>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21">
    <w:name w:val="Заголовок 1 Знак"/>
    <w:basedOn w:val="10"/>
    <w:link w:val="2"/>
    <w:qFormat/>
    <w:uiPriority w:val="0"/>
    <w:rPr>
      <w:rFonts w:ascii="Times New Roman" w:hAnsi="Times New Roman" w:eastAsia="Times New Roman" w:cs="Times New Roman"/>
      <w:b/>
      <w:sz w:val="28"/>
      <w:szCs w:val="20"/>
      <w:lang w:val="en-US" w:eastAsia="ru-RU"/>
    </w:rPr>
  </w:style>
  <w:style w:type="paragraph" w:styleId="22">
    <w:name w:val="List Paragraph"/>
    <w:basedOn w:val="1"/>
    <w:link w:val="39"/>
    <w:qFormat/>
    <w:uiPriority w:val="34"/>
    <w:pPr>
      <w:ind w:left="708"/>
    </w:pPr>
  </w:style>
  <w:style w:type="paragraph" w:styleId="23">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24">
    <w:name w:val="apple-converted-space"/>
    <w:basedOn w:val="10"/>
    <w:qFormat/>
    <w:uiPriority w:val="0"/>
  </w:style>
  <w:style w:type="character" w:customStyle="1" w:styleId="25">
    <w:name w:val="Текст выноски Знак"/>
    <w:basedOn w:val="10"/>
    <w:link w:val="13"/>
    <w:semiHidden/>
    <w:qFormat/>
    <w:uiPriority w:val="99"/>
    <w:rPr>
      <w:rFonts w:ascii="Tahoma" w:hAnsi="Tahoma" w:eastAsia="Times New Roman" w:cs="Tahoma"/>
      <w:sz w:val="16"/>
      <w:szCs w:val="16"/>
      <w:lang w:eastAsia="ru-RU"/>
    </w:rPr>
  </w:style>
  <w:style w:type="character" w:customStyle="1" w:styleId="26">
    <w:name w:val="Основной текст 2 Знак"/>
    <w:basedOn w:val="10"/>
    <w:link w:val="14"/>
    <w:qFormat/>
    <w:uiPriority w:val="0"/>
    <w:rPr>
      <w:rFonts w:ascii="Times New Roman" w:hAnsi="Times New Roman" w:eastAsia="Times New Roman" w:cs="Times New Roman"/>
      <w:sz w:val="24"/>
      <w:szCs w:val="24"/>
      <w:lang w:eastAsia="ru-RU"/>
    </w:rPr>
  </w:style>
  <w:style w:type="character" w:customStyle="1" w:styleId="27">
    <w:name w:val="Заголовок 3 Знак"/>
    <w:basedOn w:val="10"/>
    <w:link w:val="4"/>
    <w:qFormat/>
    <w:uiPriority w:val="9"/>
    <w:rPr>
      <w:rFonts w:asciiTheme="majorHAnsi" w:hAnsiTheme="majorHAnsi" w:eastAsiaTheme="majorEastAsia" w:cstheme="majorBidi"/>
      <w:b/>
      <w:bCs/>
      <w:color w:val="4F81BD" w:themeColor="accent1"/>
      <w:sz w:val="24"/>
      <w:szCs w:val="24"/>
      <w:lang w:eastAsia="ru-RU"/>
    </w:rPr>
  </w:style>
  <w:style w:type="character" w:customStyle="1" w:styleId="28">
    <w:name w:val="Основной текст Знак"/>
    <w:basedOn w:val="10"/>
    <w:link w:val="16"/>
    <w:qFormat/>
    <w:uiPriority w:val="99"/>
    <w:rPr>
      <w:rFonts w:ascii="Times New Roman" w:hAnsi="Times New Roman" w:eastAsia="Times New Roman" w:cs="Times New Roman"/>
      <w:sz w:val="24"/>
      <w:szCs w:val="24"/>
      <w:lang w:eastAsia="ru-RU"/>
    </w:rPr>
  </w:style>
  <w:style w:type="character" w:customStyle="1" w:styleId="29">
    <w:name w:val="Заголовок 4 Знак"/>
    <w:basedOn w:val="10"/>
    <w:link w:val="5"/>
    <w:qFormat/>
    <w:uiPriority w:val="9"/>
    <w:rPr>
      <w:rFonts w:asciiTheme="majorHAnsi" w:hAnsiTheme="majorHAnsi" w:eastAsiaTheme="majorEastAsia" w:cstheme="majorBidi"/>
      <w:b/>
      <w:bCs/>
      <w:i/>
      <w:iCs/>
      <w:color w:val="4F81BD" w:themeColor="accent1"/>
      <w:sz w:val="24"/>
      <w:szCs w:val="24"/>
      <w:lang w:eastAsia="ru-RU"/>
    </w:rPr>
  </w:style>
  <w:style w:type="character" w:customStyle="1" w:styleId="30">
    <w:name w:val="Верхний колонтитул Знак"/>
    <w:basedOn w:val="10"/>
    <w:link w:val="15"/>
    <w:qFormat/>
    <w:uiPriority w:val="99"/>
    <w:rPr>
      <w:rFonts w:ascii="Times New Roman" w:hAnsi="Times New Roman" w:eastAsia="Times New Roman" w:cs="Times New Roman"/>
      <w:sz w:val="24"/>
      <w:szCs w:val="24"/>
      <w:lang w:eastAsia="ru-RU"/>
    </w:rPr>
  </w:style>
  <w:style w:type="character" w:customStyle="1" w:styleId="31">
    <w:name w:val="Нижний колонтитул Знак"/>
    <w:basedOn w:val="10"/>
    <w:link w:val="17"/>
    <w:qFormat/>
    <w:uiPriority w:val="99"/>
    <w:rPr>
      <w:rFonts w:ascii="Times New Roman" w:hAnsi="Times New Roman" w:eastAsia="Times New Roman" w:cs="Times New Roman"/>
      <w:sz w:val="24"/>
      <w:szCs w:val="24"/>
      <w:lang w:eastAsia="ru-RU"/>
    </w:rPr>
  </w:style>
  <w:style w:type="character" w:customStyle="1" w:styleId="32">
    <w:name w:val="Заголовок 2 Знак"/>
    <w:basedOn w:val="10"/>
    <w:link w:val="3"/>
    <w:qFormat/>
    <w:uiPriority w:val="9"/>
    <w:rPr>
      <w:rFonts w:asciiTheme="majorHAnsi" w:hAnsiTheme="majorHAnsi" w:eastAsiaTheme="majorEastAsia" w:cstheme="majorBidi"/>
      <w:b/>
      <w:bCs/>
      <w:color w:val="4F81BD" w:themeColor="accent1"/>
      <w:sz w:val="26"/>
      <w:szCs w:val="26"/>
      <w:lang w:eastAsia="ru-RU"/>
    </w:rPr>
  </w:style>
  <w:style w:type="character" w:customStyle="1" w:styleId="33">
    <w:name w:val="Заголовок 5 Знак"/>
    <w:basedOn w:val="10"/>
    <w:link w:val="6"/>
    <w:qFormat/>
    <w:uiPriority w:val="9"/>
    <w:rPr>
      <w:rFonts w:asciiTheme="majorHAnsi" w:hAnsiTheme="majorHAnsi" w:eastAsiaTheme="majorEastAsia" w:cstheme="majorBidi"/>
      <w:color w:val="243F61" w:themeColor="accent1" w:themeShade="7F"/>
      <w:sz w:val="24"/>
      <w:szCs w:val="24"/>
      <w:lang w:eastAsia="ru-RU"/>
    </w:rPr>
  </w:style>
  <w:style w:type="character" w:customStyle="1" w:styleId="34">
    <w:name w:val="Заголовок 6 Знак"/>
    <w:basedOn w:val="10"/>
    <w:link w:val="7"/>
    <w:qFormat/>
    <w:uiPriority w:val="9"/>
    <w:rPr>
      <w:rFonts w:asciiTheme="majorHAnsi" w:hAnsiTheme="majorHAnsi" w:eastAsiaTheme="majorEastAsia" w:cstheme="majorBidi"/>
      <w:i/>
      <w:iCs/>
      <w:color w:val="243F61" w:themeColor="accent1" w:themeShade="7F"/>
      <w:sz w:val="24"/>
      <w:szCs w:val="24"/>
      <w:lang w:eastAsia="ru-RU"/>
    </w:rPr>
  </w:style>
  <w:style w:type="character" w:customStyle="1" w:styleId="35">
    <w:name w:val="Заголовок 7 Знак"/>
    <w:basedOn w:val="10"/>
    <w:link w:val="8"/>
    <w:qFormat/>
    <w:uiPriority w:val="9"/>
    <w:rPr>
      <w:rFonts w:asciiTheme="majorHAnsi" w:hAnsiTheme="majorHAnsi" w:eastAsiaTheme="majorEastAsia" w:cstheme="majorBidi"/>
      <w:i/>
      <w:iCs/>
      <w:color w:val="3F3F3F" w:themeColor="text1" w:themeTint="BF"/>
      <w:sz w:val="24"/>
      <w:szCs w:val="24"/>
      <w:lang w:eastAsia="ru-RU"/>
    </w:rPr>
  </w:style>
  <w:style w:type="character" w:customStyle="1" w:styleId="36">
    <w:name w:val="Заголовок 8 Знак"/>
    <w:basedOn w:val="10"/>
    <w:link w:val="9"/>
    <w:qFormat/>
    <w:uiPriority w:val="9"/>
    <w:rPr>
      <w:rFonts w:asciiTheme="majorHAnsi" w:hAnsiTheme="majorHAnsi" w:eastAsiaTheme="majorEastAsia" w:cstheme="majorBidi"/>
      <w:color w:val="3F3F3F" w:themeColor="text1" w:themeTint="BF"/>
      <w:sz w:val="20"/>
      <w:szCs w:val="20"/>
      <w:lang w:eastAsia="ru-RU"/>
    </w:rPr>
  </w:style>
  <w:style w:type="character" w:customStyle="1" w:styleId="37">
    <w:name w:val="Font Style26"/>
    <w:basedOn w:val="10"/>
    <w:uiPriority w:val="0"/>
    <w:rPr>
      <w:rFonts w:ascii="Times New Roman" w:hAnsi="Times New Roman" w:cs="Times New Roman"/>
      <w:sz w:val="26"/>
      <w:szCs w:val="26"/>
    </w:rPr>
  </w:style>
  <w:style w:type="character" w:customStyle="1" w:styleId="38">
    <w:name w:val="Основной текст 3 Знак"/>
    <w:basedOn w:val="10"/>
    <w:link w:val="19"/>
    <w:semiHidden/>
    <w:qFormat/>
    <w:uiPriority w:val="99"/>
    <w:rPr>
      <w:rFonts w:ascii="Times New Roman" w:hAnsi="Times New Roman" w:eastAsia="Times New Roman" w:cs="Times New Roman"/>
      <w:sz w:val="16"/>
      <w:szCs w:val="16"/>
      <w:lang w:eastAsia="ru-RU"/>
    </w:rPr>
  </w:style>
  <w:style w:type="character" w:customStyle="1" w:styleId="39">
    <w:name w:val="Абзац списка Знак"/>
    <w:basedOn w:val="10"/>
    <w:link w:val="22"/>
    <w:qFormat/>
    <w:locked/>
    <w:uiPriority w:val="34"/>
    <w:rPr>
      <w:rFonts w:ascii="Times New Roman" w:hAnsi="Times New Roman" w:eastAsia="Times New Roman" w:cs="Times New Roman"/>
      <w:sz w:val="24"/>
      <w:szCs w:val="24"/>
      <w:lang w:eastAsia="ru-RU"/>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344E7-C953-4891-AD96-B4E74C9FB9FF}">
  <ds:schemaRefs/>
</ds:datastoreItem>
</file>

<file path=docProps/app.xml><?xml version="1.0" encoding="utf-8"?>
<Properties xmlns="http://schemas.openxmlformats.org/officeDocument/2006/extended-properties" xmlns:vt="http://schemas.openxmlformats.org/officeDocument/2006/docPropsVTypes">
  <Template>Normal</Template>
  <Company>Reanimator Extreme Edition</Company>
  <Pages>2</Pages>
  <Words>807</Words>
  <Characters>4972</Characters>
  <Lines>44</Lines>
  <Paragraphs>12</Paragraphs>
  <TotalTime>2088</TotalTime>
  <ScaleCrop>false</ScaleCrop>
  <LinksUpToDate>false</LinksUpToDate>
  <CharactersWithSpaces>6219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2018-12-10T11:29:00Z</dcterms:created>
  <dc:creator>user</dc:creator>
  <cp:lastModifiedBy>Iulian Erimei</cp:lastModifiedBy>
  <cp:lastPrinted>2025-12-02T08:46:00Z</cp:lastPrinted>
  <dcterms:modified xsi:type="dcterms:W3CDTF">2026-09-15T14:07:05Z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8137CEC4637E4779B3D5E1564E38FA23_13</vt:lpwstr>
  </property>
</Properties>
</file>