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510"/>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2167"/>
      </w:tblGrid>
      <w:tr w:rsidR="00FD4E02" w:rsidTr="00507AEB">
        <w:trPr>
          <w:trHeight w:val="1977"/>
        </w:trPr>
        <w:tc>
          <w:tcPr>
            <w:tcW w:w="1440" w:type="dxa"/>
            <w:tcBorders>
              <w:top w:val="nil"/>
              <w:left w:val="nil"/>
              <w:bottom w:val="single" w:sz="4" w:space="0" w:color="auto"/>
              <w:right w:val="nil"/>
            </w:tcBorders>
          </w:tcPr>
          <w:p w:rsidR="00FD4E02" w:rsidRDefault="00FD4E02" w:rsidP="00507AEB">
            <w:pPr>
              <w:jc w:val="center"/>
              <w:rPr>
                <w:b/>
              </w:rPr>
            </w:pPr>
          </w:p>
          <w:p w:rsidR="00FD4E02" w:rsidRDefault="001B250E" w:rsidP="00507AEB">
            <w:pPr>
              <w:rPr>
                <w:lang w:val="en-US"/>
              </w:rPr>
            </w:pPr>
            <w:r>
              <w:rPr>
                <w:noProof/>
              </w:rPr>
              <w:drawing>
                <wp:anchor distT="0" distB="0" distL="114300" distR="114300" simplePos="0" relativeHeight="251660288" behindDoc="0" locked="0" layoutInCell="1" allowOverlap="0">
                  <wp:simplePos x="0" y="0"/>
                  <wp:positionH relativeFrom="margin">
                    <wp:posOffset>116205</wp:posOffset>
                  </wp:positionH>
                  <wp:positionV relativeFrom="margin">
                    <wp:posOffset>224790</wp:posOffset>
                  </wp:positionV>
                  <wp:extent cx="569595" cy="68961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a:ln>
                            <a:noFill/>
                          </a:ln>
                        </pic:spPr>
                      </pic:pic>
                    </a:graphicData>
                  </a:graphic>
                </wp:anchor>
              </w:drawing>
            </w:r>
          </w:p>
        </w:tc>
        <w:tc>
          <w:tcPr>
            <w:tcW w:w="6600" w:type="dxa"/>
            <w:tcBorders>
              <w:top w:val="nil"/>
              <w:left w:val="nil"/>
              <w:bottom w:val="single" w:sz="4" w:space="0" w:color="auto"/>
              <w:right w:val="nil"/>
            </w:tcBorders>
          </w:tcPr>
          <w:p w:rsidR="00FD4E02" w:rsidRDefault="00FD4E02" w:rsidP="00507AEB">
            <w:pPr>
              <w:rPr>
                <w:lang w:val="en-US"/>
              </w:rPr>
            </w:pPr>
          </w:p>
          <w:p w:rsidR="00FD4E02" w:rsidRPr="00507AEB" w:rsidRDefault="001B250E" w:rsidP="00507AEB">
            <w:pPr>
              <w:pStyle w:val="1"/>
              <w:spacing w:line="360" w:lineRule="auto"/>
              <w:jc w:val="center"/>
              <w:rPr>
                <w:rFonts w:ascii="Times New Roman" w:hAnsi="Times New Roman" w:cs="Times New Roman"/>
                <w:b/>
                <w:color w:val="000000" w:themeColor="text1"/>
                <w:sz w:val="24"/>
                <w:szCs w:val="24"/>
                <w:lang w:val="it-IT"/>
              </w:rPr>
            </w:pPr>
            <w:r w:rsidRPr="00507AEB">
              <w:rPr>
                <w:rFonts w:ascii="Times New Roman" w:hAnsi="Times New Roman" w:cs="Times New Roman"/>
                <w:b/>
                <w:color w:val="000000" w:themeColor="text1"/>
                <w:sz w:val="24"/>
                <w:szCs w:val="24"/>
                <w:lang w:val="it-IT"/>
              </w:rPr>
              <w:t>REPUBLICA  MOLDOVA</w:t>
            </w:r>
            <w:r w:rsidRPr="00507AEB">
              <w:rPr>
                <w:rFonts w:ascii="Times New Roman" w:hAnsi="Times New Roman" w:cs="Times New Roman"/>
                <w:b/>
                <w:color w:val="000000" w:themeColor="text1"/>
                <w:sz w:val="24"/>
                <w:szCs w:val="24"/>
                <w:lang w:val="it-IT"/>
              </w:rPr>
              <w:br/>
              <w:t xml:space="preserve">  CONSILIUL  RAIONAL S</w:t>
            </w:r>
            <w:r w:rsidRPr="00507AEB">
              <w:rPr>
                <w:rFonts w:ascii="Times New Roman" w:hAnsi="Times New Roman" w:cs="Times New Roman"/>
                <w:b/>
                <w:color w:val="000000" w:themeColor="text1"/>
                <w:sz w:val="24"/>
                <w:szCs w:val="24"/>
                <w:lang w:val="ro-RO"/>
              </w:rPr>
              <w:t>ÎNGEREI</w:t>
            </w:r>
          </w:p>
          <w:p w:rsidR="00FD4E02" w:rsidRDefault="001B250E" w:rsidP="00507AEB">
            <w:pPr>
              <w:rPr>
                <w:b/>
                <w:bCs/>
                <w:lang w:val="ro-RO"/>
              </w:rPr>
            </w:pPr>
            <w:r>
              <w:rPr>
                <w:b/>
                <w:bCs/>
                <w:lang w:val="ro-RO"/>
              </w:rPr>
              <w:t xml:space="preserve">                          PREȘEDINTELE  RAIONULUI</w:t>
            </w:r>
          </w:p>
          <w:p w:rsidR="00FD4E02" w:rsidRDefault="00FD4E02" w:rsidP="00507AEB">
            <w:pPr>
              <w:jc w:val="center"/>
              <w:rPr>
                <w:lang w:val="it-IT"/>
              </w:rPr>
            </w:pPr>
          </w:p>
        </w:tc>
        <w:tc>
          <w:tcPr>
            <w:tcW w:w="2167" w:type="dxa"/>
            <w:tcBorders>
              <w:top w:val="nil"/>
              <w:left w:val="nil"/>
              <w:bottom w:val="single" w:sz="4" w:space="0" w:color="auto"/>
              <w:right w:val="nil"/>
            </w:tcBorders>
          </w:tcPr>
          <w:p w:rsidR="00FD4E02" w:rsidRDefault="001B250E" w:rsidP="00507AEB">
            <w:pPr>
              <w:jc w:val="center"/>
              <w:rPr>
                <w:lang w:val="it-IT"/>
              </w:rPr>
            </w:pPr>
            <w:r>
              <w:rPr>
                <w:noProof/>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a:ln>
                            <a:noFill/>
                          </a:ln>
                        </pic:spPr>
                      </pic:pic>
                    </a:graphicData>
                  </a:graphic>
                </wp:anchor>
              </w:drawing>
            </w:r>
          </w:p>
          <w:p w:rsidR="00FD4E02" w:rsidRDefault="001B250E" w:rsidP="00507AEB">
            <w:pPr>
              <w:jc w:val="center"/>
              <w:rPr>
                <w:b/>
                <w:lang w:val="en-US"/>
              </w:rPr>
            </w:pPr>
            <w:r>
              <w:rPr>
                <w:b/>
                <w:noProof/>
              </w:rPr>
              <w:drawing>
                <wp:inline distT="0" distB="0" distL="0" distR="0">
                  <wp:extent cx="609600" cy="773430"/>
                  <wp:effectExtent l="0" t="0" r="0" b="762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10880" cy="775348"/>
                          </a:xfrm>
                          <a:prstGeom prst="rect">
                            <a:avLst/>
                          </a:prstGeom>
                          <a:noFill/>
                          <a:ln>
                            <a:noFill/>
                          </a:ln>
                        </pic:spPr>
                      </pic:pic>
                    </a:graphicData>
                  </a:graphic>
                </wp:inline>
              </w:drawing>
            </w:r>
          </w:p>
          <w:p w:rsidR="00FD4E02" w:rsidRDefault="00FD4E02" w:rsidP="00507AEB">
            <w:pPr>
              <w:rPr>
                <w:lang w:val="en-US"/>
              </w:rPr>
            </w:pPr>
          </w:p>
          <w:p w:rsidR="00FD4E02" w:rsidRDefault="00FD4E02" w:rsidP="00507AEB">
            <w:pPr>
              <w:jc w:val="right"/>
              <w:rPr>
                <w:lang w:val="en-US"/>
              </w:rPr>
            </w:pPr>
          </w:p>
        </w:tc>
      </w:tr>
      <w:tr w:rsidR="00FD4E02" w:rsidTr="00507AEB">
        <w:trPr>
          <w:trHeight w:val="70"/>
        </w:trPr>
        <w:tc>
          <w:tcPr>
            <w:tcW w:w="10207" w:type="dxa"/>
            <w:gridSpan w:val="3"/>
            <w:tcBorders>
              <w:top w:val="single" w:sz="4" w:space="0" w:color="auto"/>
              <w:left w:val="nil"/>
              <w:bottom w:val="thinThickSmallGap" w:sz="24" w:space="0" w:color="auto"/>
              <w:right w:val="nil"/>
            </w:tcBorders>
          </w:tcPr>
          <w:p w:rsidR="00FD4E02" w:rsidRDefault="001B250E" w:rsidP="00507AEB">
            <w:pPr>
              <w:rPr>
                <w:b/>
                <w:lang w:val="ro-RO"/>
              </w:rPr>
            </w:pPr>
            <w:r>
              <w:rPr>
                <w:b/>
                <w:lang w:val="ro-RO"/>
              </w:rPr>
              <w:t xml:space="preserve">   Secția Cultură</w:t>
            </w:r>
          </w:p>
        </w:tc>
      </w:tr>
    </w:tbl>
    <w:p w:rsidR="00FD4E02" w:rsidRDefault="001B250E">
      <w:pPr>
        <w:spacing w:line="276" w:lineRule="auto"/>
        <w:rPr>
          <w:b/>
          <w:sz w:val="22"/>
          <w:szCs w:val="22"/>
          <w:lang w:val="en-US"/>
        </w:rPr>
      </w:pPr>
      <w:r>
        <w:rPr>
          <w:b/>
          <w:sz w:val="22"/>
          <w:szCs w:val="22"/>
          <w:lang w:val="en-US"/>
        </w:rPr>
        <w:t>Nr. ________________</w:t>
      </w:r>
    </w:p>
    <w:p w:rsidR="00FD4E02" w:rsidRDefault="001B250E">
      <w:pPr>
        <w:spacing w:line="276" w:lineRule="auto"/>
        <w:rPr>
          <w:sz w:val="22"/>
          <w:szCs w:val="22"/>
          <w:lang w:val="ro-RO"/>
        </w:rPr>
      </w:pPr>
      <w:r>
        <w:rPr>
          <w:b/>
          <w:sz w:val="22"/>
          <w:szCs w:val="22"/>
          <w:lang w:val="en-US"/>
        </w:rPr>
        <w:t>din ______________ 202</w:t>
      </w:r>
      <w:r w:rsidR="00507AEB">
        <w:rPr>
          <w:b/>
          <w:sz w:val="22"/>
          <w:szCs w:val="22"/>
          <w:lang w:val="en-US"/>
        </w:rPr>
        <w:t>6</w:t>
      </w:r>
    </w:p>
    <w:p w:rsidR="00FD4E02" w:rsidRDefault="001B250E">
      <w:pPr>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rsidR="00FD4E02" w:rsidRDefault="001B250E">
      <w:pPr>
        <w:rPr>
          <w:sz w:val="22"/>
          <w:szCs w:val="22"/>
          <w:lang w:val="ro-RO"/>
        </w:rPr>
      </w:pPr>
      <w:r>
        <w:rPr>
          <w:sz w:val="22"/>
          <w:szCs w:val="22"/>
          <w:lang w:val="en-US"/>
        </w:rPr>
        <w:t xml:space="preserve">Secretară interimară  a        </w:t>
      </w:r>
      <w:r>
        <w:rPr>
          <w:sz w:val="22"/>
          <w:szCs w:val="22"/>
          <w:lang w:val="ro-RO"/>
        </w:rPr>
        <w:t xml:space="preserve">                                                                              De acord şi dispun elaborarea  Consiliului raional                                                                                                         proiectului de decizie </w:t>
      </w:r>
    </w:p>
    <w:p w:rsidR="00FD4E02" w:rsidRDefault="001B250E">
      <w:pPr>
        <w:rPr>
          <w:b/>
          <w:bCs/>
          <w:sz w:val="22"/>
          <w:szCs w:val="22"/>
          <w:lang w:val="ro-RO"/>
        </w:rPr>
      </w:pPr>
      <w:r>
        <w:rPr>
          <w:b/>
          <w:bCs/>
          <w:sz w:val="22"/>
          <w:szCs w:val="22"/>
          <w:lang w:val="ro-RO"/>
        </w:rPr>
        <w:t xml:space="preserve">Angela Mihaliuc                                                                                                                    PREŞEDINTE _____________                                                                                                        </w:t>
      </w:r>
      <w:r>
        <w:rPr>
          <w:b/>
          <w:sz w:val="22"/>
          <w:szCs w:val="22"/>
          <w:lang w:val="ro-RO"/>
        </w:rPr>
        <w:t>Cristian  CAINARIAN</w:t>
      </w:r>
      <w:r>
        <w:rPr>
          <w:sz w:val="22"/>
          <w:szCs w:val="22"/>
          <w:lang w:val="ro-RO"/>
        </w:rPr>
        <w:t xml:space="preserve">                </w:t>
      </w:r>
      <w:r>
        <w:rPr>
          <w:b/>
          <w:sz w:val="22"/>
          <w:szCs w:val="22"/>
          <w:lang w:val="ro-RO"/>
        </w:rPr>
        <w:t xml:space="preserve"> </w:t>
      </w:r>
    </w:p>
    <w:p w:rsidR="00FD4E02" w:rsidRDefault="001B250E">
      <w:pPr>
        <w:tabs>
          <w:tab w:val="left" w:pos="7088"/>
        </w:tabs>
        <w:rPr>
          <w:lang w:val="en-US"/>
        </w:rPr>
      </w:pPr>
      <w:r>
        <w:rPr>
          <w:lang w:val="en-US"/>
        </w:rPr>
        <w:tab/>
        <w:t>__________________</w:t>
      </w:r>
    </w:p>
    <w:p w:rsidR="00FD4E02" w:rsidRDefault="001B250E" w:rsidP="00507AEB">
      <w:pPr>
        <w:rPr>
          <w:b/>
          <w:sz w:val="22"/>
          <w:lang w:val="ro-RO"/>
        </w:rPr>
      </w:pPr>
      <w:r>
        <w:rPr>
          <w:lang w:val="ro-RO"/>
        </w:rPr>
        <w:t xml:space="preserve">                                              </w:t>
      </w:r>
      <w:r>
        <w:rPr>
          <w:b/>
          <w:sz w:val="22"/>
          <w:lang w:val="ro-RO"/>
        </w:rPr>
        <w:t>NOTĂ DE FUNDAMENTARE</w:t>
      </w:r>
    </w:p>
    <w:p w:rsidR="00AF0DAF" w:rsidRPr="00184FB7" w:rsidRDefault="00AF0DAF" w:rsidP="00AF0DAF">
      <w:pPr>
        <w:jc w:val="center"/>
        <w:rPr>
          <w:b/>
          <w:lang w:val="en-US"/>
        </w:rPr>
      </w:pPr>
      <w:r w:rsidRPr="00184FB7">
        <w:rPr>
          <w:b/>
          <w:lang w:val="en-US"/>
        </w:rPr>
        <w:t>Cu privire la modificarea modului de organizare a Casei Raionale de Cultură</w:t>
      </w:r>
    </w:p>
    <w:p w:rsidR="00FD4E02" w:rsidRDefault="00AF0DAF" w:rsidP="00AF0DAF">
      <w:pPr>
        <w:jc w:val="center"/>
        <w:rPr>
          <w:b/>
          <w:kern w:val="16"/>
          <w:sz w:val="22"/>
          <w:lang w:val="ro-RO"/>
        </w:rPr>
      </w:pPr>
      <w:r w:rsidRPr="00184FB7">
        <w:rPr>
          <w:b/>
          <w:lang w:val="en-US"/>
        </w:rPr>
        <w:t>,,Nicolae Iorga” din or. Sîngerei și stabilirea tipului acesteia - Palat de Cultură</w:t>
      </w: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5"/>
      </w:tblGrid>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numPr>
                <w:ilvl w:val="3"/>
                <w:numId w:val="1"/>
              </w:numPr>
              <w:tabs>
                <w:tab w:val="left" w:pos="284"/>
                <w:tab w:val="left" w:pos="1196"/>
              </w:tabs>
              <w:spacing w:line="276" w:lineRule="auto"/>
              <w:ind w:left="0" w:firstLine="0"/>
              <w:jc w:val="both"/>
              <w:rPr>
                <w:b/>
                <w:iCs/>
                <w:sz w:val="22"/>
                <w:lang w:val="en-US" w:eastAsia="en-US"/>
              </w:rPr>
            </w:pPr>
            <w:r>
              <w:rPr>
                <w:b/>
                <w:iCs/>
                <w:sz w:val="22"/>
                <w:lang w:val="en-US"/>
              </w:rPr>
              <w:t>Denumirea autorului şi, după caz, a participanţilor la elaborarea proiectului</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spacing w:line="276" w:lineRule="auto"/>
              <w:jc w:val="both"/>
              <w:rPr>
                <w:sz w:val="22"/>
                <w:lang w:val="en-US"/>
              </w:rPr>
            </w:pPr>
            <w:r>
              <w:rPr>
                <w:sz w:val="22"/>
                <w:lang w:val="en-US"/>
              </w:rPr>
              <w:t xml:space="preserve">Proiectul de decizie este elaborat de către </w:t>
            </w:r>
            <w:r>
              <w:rPr>
                <w:sz w:val="22"/>
                <w:lang w:val="ro-RO"/>
              </w:rPr>
              <w:t>Secția Cultură</w:t>
            </w:r>
            <w:r>
              <w:rPr>
                <w:sz w:val="22"/>
                <w:lang w:val="en-US"/>
              </w:rPr>
              <w:t xml:space="preserve"> din cadrul Consiliului Raional Sîngerei.</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spacing w:line="276" w:lineRule="auto"/>
              <w:jc w:val="both"/>
              <w:rPr>
                <w:b/>
                <w:bCs/>
                <w:sz w:val="22"/>
                <w:lang w:val="en-US" w:eastAsia="en-US"/>
              </w:rPr>
            </w:pPr>
            <w:r>
              <w:rPr>
                <w:b/>
                <w:bCs/>
                <w:sz w:val="22"/>
                <w:lang w:val="en-US"/>
              </w:rPr>
              <w:t>2. Condiţiile ce au impus elaborarea proiectului de act normativ şi finalităţile urmărite</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507AEB">
            <w:pPr>
              <w:jc w:val="both"/>
              <w:rPr>
                <w:sz w:val="22"/>
                <w:lang w:val="zh-CN"/>
              </w:rPr>
            </w:pPr>
            <w:r>
              <w:rPr>
                <w:sz w:val="22"/>
                <w:lang w:val="en-US"/>
              </w:rPr>
              <w:t xml:space="preserve">    </w:t>
            </w:r>
            <w:r w:rsidR="001B250E">
              <w:rPr>
                <w:sz w:val="22"/>
                <w:lang w:val="en-US"/>
              </w:rPr>
              <w:t xml:space="preserve">Elaborarea prezentului proiect de decizie este determinată de necesitatea conformării modului de organizare și funcționare a Casei raionale de Cultură „Nicolae Iorga” la prevederile Regulamentului de organizare și funcționare a casei de cultură, aprobat prin Hotărârea Guvernului nr. 83/2023, cu modificările operate prin Hotărârea Guvernului nr. 560/2025, aplicabile începând cu 1 ianuarie 2026. </w:t>
            </w:r>
          </w:p>
          <w:p w:rsidR="00FD4E02" w:rsidRDefault="001B250E">
            <w:pPr>
              <w:jc w:val="both"/>
              <w:rPr>
                <w:sz w:val="22"/>
                <w:lang w:val="en-US"/>
              </w:rPr>
            </w:pPr>
            <w:r>
              <w:rPr>
                <w:sz w:val="22"/>
                <w:lang w:val="en-US"/>
              </w:rPr>
              <w:t xml:space="preserve">Noul cadru normativ stabilește clasificarea caselor de cultură în centre culturale, case de cultură comunitare și palate de cultură, stabilirea tipului și statutului instituției revenind fondatorului, în funcție de rolul funcțional, capacitatea administrativă și financiară și necesitățile comunității. </w:t>
            </w:r>
          </w:p>
          <w:p w:rsidR="00FD4E02" w:rsidRDefault="00507AEB">
            <w:pPr>
              <w:jc w:val="both"/>
              <w:rPr>
                <w:sz w:val="22"/>
                <w:lang w:val="en-US"/>
              </w:rPr>
            </w:pPr>
            <w:r>
              <w:rPr>
                <w:sz w:val="22"/>
                <w:lang w:val="en-US"/>
              </w:rPr>
              <w:t xml:space="preserve">    </w:t>
            </w:r>
            <w:r w:rsidR="001B250E">
              <w:rPr>
                <w:sz w:val="22"/>
                <w:lang w:val="en-US"/>
              </w:rPr>
              <w:t xml:space="preserve">Potrivit pct. 6 al Regulamentului, palatul de cultură funcționează într-o localitate cu statut de centru raional sau municipiu și, pe lângă atribuțiile specifice casei de cultură comunitare, exercită atribuții metodologice la nivelul unității administrativ-teritoriale în care activează. Totodată, pe teritoriul unei unități administrativ-teritoriale de nivelul al doilea poate activa un singur palat de cultură. În aceste condiții, statutul de centru raional al orașului Sîngerei și rolul Casei raionale de Cultură „Nicolae Iorga” în organizarea și desfășurarea activităților cultural-artistice de interes raional justifică încadrarea acesteia în tipologia „Palat de cultură”. </w:t>
            </w:r>
          </w:p>
          <w:p w:rsidR="00FD4E02" w:rsidRDefault="00507AEB">
            <w:pPr>
              <w:jc w:val="both"/>
              <w:rPr>
                <w:sz w:val="22"/>
                <w:lang w:val="en-US"/>
              </w:rPr>
            </w:pPr>
            <w:r>
              <w:rPr>
                <w:sz w:val="22"/>
                <w:lang w:val="en-US"/>
              </w:rPr>
              <w:t xml:space="preserve">    </w:t>
            </w:r>
            <w:r w:rsidR="001B250E">
              <w:rPr>
                <w:sz w:val="22"/>
                <w:lang w:val="en-US"/>
              </w:rPr>
              <w:t xml:space="preserve">Necesitatea elaborării proiectului rezultă, de asemenea, din obligația autorității fondatoare de a asigura concordanța dintre denumirea instituției, tipul acesteia, statutul juridic, competențele exercitate și modul efectiv de funcționare. În acest sens, cadrul metodologic emis de Ministerul Culturii prevede actualizarea actelor fondatorului, a regulamentelor de organizare și funcționare, a structurii organizatorice și a celorlalte documente instituționale, astfel încât acestea să corespundă noilor prevederi. </w:t>
            </w:r>
          </w:p>
          <w:p w:rsidR="00FD4E02" w:rsidRDefault="00507AEB">
            <w:pPr>
              <w:jc w:val="both"/>
              <w:rPr>
                <w:sz w:val="22"/>
                <w:lang w:val="en-US"/>
              </w:rPr>
            </w:pPr>
            <w:r>
              <w:rPr>
                <w:sz w:val="22"/>
                <w:lang w:val="en-US"/>
              </w:rPr>
              <w:t xml:space="preserve">    </w:t>
            </w:r>
            <w:r w:rsidR="001B250E">
              <w:rPr>
                <w:sz w:val="22"/>
                <w:lang w:val="en-US"/>
              </w:rPr>
              <w:t xml:space="preserve">Întrucât Casa raională de Cultură „Nicolae Iorga” funcționează fără personalitate juridică, modificarea modului de organizare nu reprezintă reorganizarea unei persoane juridice, ci o măsură de conformare instituțională realizată prin actul autorității fondatoare și prin ajustarea corespunzătoare a structurii organizatorice. Pentru palatul de cultură fără personalitate juridică, Regulamentul prevede notificarea prealabilă în scris a Ministerului Culturii. </w:t>
            </w:r>
          </w:p>
          <w:p w:rsidR="00FD4E02" w:rsidRDefault="00507AEB" w:rsidP="00507AEB">
            <w:pPr>
              <w:jc w:val="both"/>
              <w:rPr>
                <w:sz w:val="22"/>
                <w:lang w:val="en-US"/>
              </w:rPr>
            </w:pPr>
            <w:r>
              <w:rPr>
                <w:sz w:val="22"/>
                <w:lang w:val="en-US"/>
              </w:rPr>
              <w:t xml:space="preserve">    </w:t>
            </w:r>
            <w:r w:rsidR="001B250E">
              <w:rPr>
                <w:sz w:val="22"/>
                <w:lang w:val="en-US"/>
              </w:rPr>
              <w:t>Finalitatea urmărită prin promovarea prezentului proiect de decizie constă în încadrarea Casei raionale de Cultură „Nicolae Iorga” în tipologia „Palat de cultură”, cu menținerea acesteia fără personalitate juridică, precum și în stabilirea unui cadru organizatoric și funcțional conform legislației în vigoare. Măsura urmărește consolidarea rolului instituției în realizarea politicilor culturale la nivel raional, exercitarea atribuțiilor metodologice în raport cu rețeaua instituțiilor de cultură din raion, eficientizarea activității cultural-artistice și asigurarea continuității serviciilor culturale destinate populației raionului Sîngerei.</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3. Obiectivele urmărite și soluțiile propuse</w:t>
            </w:r>
          </w:p>
        </w:tc>
      </w:tr>
      <w:tr w:rsidR="00FD4E02" w:rsidRPr="00FB2A2C">
        <w:trPr>
          <w:trHeight w:val="572"/>
        </w:trPr>
        <w:tc>
          <w:tcPr>
            <w:tcW w:w="5000" w:type="pct"/>
            <w:tcBorders>
              <w:top w:val="single" w:sz="4" w:space="0" w:color="auto"/>
              <w:left w:val="single" w:sz="4" w:space="0" w:color="auto"/>
              <w:bottom w:val="single" w:sz="4" w:space="0" w:color="auto"/>
              <w:right w:val="single" w:sz="4" w:space="0" w:color="auto"/>
            </w:tcBorders>
          </w:tcPr>
          <w:p w:rsidR="00FD4E02" w:rsidRDefault="001B250E">
            <w:pPr>
              <w:jc w:val="both"/>
              <w:rPr>
                <w:sz w:val="22"/>
                <w:lang w:val="en-US"/>
              </w:rPr>
            </w:pPr>
            <w:r>
              <w:rPr>
                <w:sz w:val="22"/>
                <w:lang w:val="en-US"/>
              </w:rPr>
              <w:t xml:space="preserve">Prezentul proiect de decizie urmărește conformarea modului de organizare și funcționare a Casei raionale de Cultură „Nicolae Iorga” la prevederile Regulamentului de organizare și funcționare a casei de cultură, aprobat prin Hotărârea Guvernului nr. 83/2023, cu modificările operate prin Hotărârea Guvernului nr. 560/2025, precum și încadrarea instituției în tipologia corespunzătoare rolului exercitat la nivelul raionului Sîngerei. Potrivit noilor reglementări, palatul de cultură funcționează într-un centru raional sau municipiu și exercită inclusiv atribuții metodologice la nivelul unității administrativ-teritoriale. </w:t>
            </w:r>
          </w:p>
          <w:p w:rsidR="00FD4E02" w:rsidRDefault="001B250E">
            <w:pPr>
              <w:jc w:val="both"/>
              <w:rPr>
                <w:sz w:val="22"/>
                <w:lang w:val="en-US"/>
              </w:rPr>
            </w:pPr>
            <w:r>
              <w:rPr>
                <w:sz w:val="22"/>
                <w:lang w:val="en-US"/>
              </w:rPr>
              <w:t>Prin promovarea proiectului se urmărește:</w:t>
            </w:r>
          </w:p>
          <w:p w:rsidR="00FD4E02" w:rsidRDefault="001B250E">
            <w:pPr>
              <w:numPr>
                <w:ilvl w:val="0"/>
                <w:numId w:val="2"/>
              </w:numPr>
              <w:jc w:val="both"/>
              <w:rPr>
                <w:sz w:val="22"/>
                <w:lang w:val="en-US"/>
              </w:rPr>
            </w:pPr>
            <w:r>
              <w:rPr>
                <w:sz w:val="22"/>
                <w:lang w:val="en-US"/>
              </w:rPr>
              <w:t xml:space="preserve">încadrarea Casei raionale de Cultură „Nicolae Iorga” în tipologia „Palat de cultură”, corespunzător statutului orașului Sîngerei de centru raional și rolului funcțional al instituției; </w:t>
            </w:r>
          </w:p>
          <w:p w:rsidR="00FD4E02" w:rsidRDefault="001B250E">
            <w:pPr>
              <w:numPr>
                <w:ilvl w:val="0"/>
                <w:numId w:val="2"/>
              </w:numPr>
              <w:jc w:val="both"/>
              <w:rPr>
                <w:sz w:val="22"/>
                <w:lang w:val="en-US"/>
              </w:rPr>
            </w:pPr>
            <w:r>
              <w:rPr>
                <w:sz w:val="22"/>
                <w:lang w:val="en-US"/>
              </w:rPr>
              <w:lastRenderedPageBreak/>
              <w:t xml:space="preserve">consolidarea rolului metodologic al instituției la nivel raional, în raport cu rețeaua instituțiilor de cultură și cu activitatea cultural-artistică desfășurată în teritoriul raionului; </w:t>
            </w:r>
          </w:p>
          <w:p w:rsidR="00FD4E02" w:rsidRDefault="001B250E">
            <w:pPr>
              <w:numPr>
                <w:ilvl w:val="0"/>
                <w:numId w:val="2"/>
              </w:numPr>
              <w:jc w:val="both"/>
              <w:rPr>
                <w:sz w:val="22"/>
                <w:lang w:val="en-US"/>
              </w:rPr>
            </w:pPr>
            <w:r>
              <w:rPr>
                <w:sz w:val="22"/>
                <w:lang w:val="en-US"/>
              </w:rPr>
              <w:t xml:space="preserve">asigurarea concordanței dintre denumirea, tipul, statutul juridic și atribuțiile instituției, precum și eliminarea eventualelor neconcordanțe dintre actele instituționale și cadrul normativ în vigoare; </w:t>
            </w:r>
          </w:p>
          <w:p w:rsidR="00FD4E02" w:rsidRDefault="001B250E">
            <w:pPr>
              <w:numPr>
                <w:ilvl w:val="0"/>
                <w:numId w:val="2"/>
              </w:numPr>
              <w:jc w:val="both"/>
              <w:rPr>
                <w:sz w:val="22"/>
                <w:lang w:val="en-US"/>
              </w:rPr>
            </w:pPr>
            <w:r>
              <w:rPr>
                <w:sz w:val="22"/>
                <w:lang w:val="en-US"/>
              </w:rPr>
              <w:t xml:space="preserve">eficientizarea organizării și funcționării instituției, prin actualizarea structurii organizatorice, a atribuțiilor și a documentelor interne; </w:t>
            </w:r>
          </w:p>
          <w:p w:rsidR="00FD4E02" w:rsidRDefault="001B250E">
            <w:pPr>
              <w:numPr>
                <w:ilvl w:val="0"/>
                <w:numId w:val="2"/>
              </w:numPr>
              <w:jc w:val="both"/>
              <w:rPr>
                <w:sz w:val="22"/>
                <w:lang w:val="en-US"/>
              </w:rPr>
            </w:pPr>
            <w:r>
              <w:rPr>
                <w:sz w:val="22"/>
                <w:lang w:val="en-US"/>
              </w:rPr>
              <w:t xml:space="preserve">asigurarea continuității și dezvoltării serviciilor culturale de interes raional, precum și creșterea capacității instituției de a organiza și coordona activități, programe și proiecte cultural-artistice. </w:t>
            </w:r>
          </w:p>
          <w:p w:rsidR="00FD4E02" w:rsidRDefault="001B250E" w:rsidP="00507AEB">
            <w:pPr>
              <w:jc w:val="both"/>
              <w:rPr>
                <w:sz w:val="22"/>
                <w:lang w:val="en-US"/>
              </w:rPr>
            </w:pPr>
            <w:r>
              <w:rPr>
                <w:sz w:val="22"/>
                <w:lang w:val="en-US"/>
              </w:rPr>
              <w:t>Soluția propusă constă în modificarea modului de organizare a Casei raionale de Cultură „Nicolae Iorga” și încadrarea acesteia în tipologia „Palat de cultură”, cu menținerea statutului de instituție fără personalitate juridică și cu operarea modificărilor corespunzătoare în actele de organizare și funcționare, structura organizatorică, statul de personal și celelalte documente instituționale. Circulara Ministerului Culturii precizează că, pentru instituțiile fără personalitate juridică, asemenea modificări se realizează prin ajustarea organizării interne, iar în cazul unui palat de cultură notificarea prealabilă se adresează Ministerului Culturii.</w:t>
            </w:r>
          </w:p>
        </w:tc>
      </w:tr>
      <w:tr w:rsidR="00FD4E02">
        <w:trPr>
          <w:trHeight w:val="148"/>
        </w:trPr>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iCs/>
                <w:sz w:val="22"/>
              </w:rPr>
            </w:pPr>
            <w:r>
              <w:rPr>
                <w:b/>
                <w:iCs/>
                <w:sz w:val="22"/>
              </w:rPr>
              <w:lastRenderedPageBreak/>
              <w:t>4. Analiza impactului de reglementare</w:t>
            </w:r>
          </w:p>
        </w:tc>
      </w:tr>
      <w:tr w:rsidR="00FD4E02" w:rsidRPr="00FB2A2C">
        <w:trPr>
          <w:trHeight w:val="188"/>
        </w:trPr>
        <w:tc>
          <w:tcPr>
            <w:tcW w:w="5000" w:type="pct"/>
            <w:tcBorders>
              <w:top w:val="single" w:sz="4" w:space="0" w:color="auto"/>
              <w:left w:val="single" w:sz="4" w:space="0" w:color="auto"/>
              <w:bottom w:val="single" w:sz="4" w:space="0" w:color="auto"/>
              <w:right w:val="single" w:sz="4" w:space="0" w:color="auto"/>
            </w:tcBorders>
          </w:tcPr>
          <w:p w:rsidR="00FD4E02" w:rsidRDefault="001B250E">
            <w:pPr>
              <w:pStyle w:val="ab"/>
              <w:jc w:val="both"/>
              <w:rPr>
                <w:rFonts w:ascii="Times New Roman" w:hAnsi="Times New Roman" w:cs="Times New Roman"/>
                <w:szCs w:val="24"/>
              </w:rPr>
            </w:pPr>
            <w:r>
              <w:rPr>
                <w:rFonts w:ascii="Times New Roman" w:hAnsi="Times New Roman" w:cs="Times New Roman"/>
                <w:lang w:val="ro-RO"/>
              </w:rPr>
              <w:t>Proiectul de decizie nu înregistrează careva impacturi, costuri și respectiv, nu necesită alocarea mijloacelor financiare suplimentare din bugetul raional.</w:t>
            </w:r>
            <w:r>
              <w:rPr>
                <w:rFonts w:ascii="Times New Roman" w:hAnsi="Times New Roman" w:cs="Times New Roman"/>
                <w:szCs w:val="24"/>
              </w:rPr>
              <w:tab/>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 xml:space="preserve">5. Compatibilitatea proiectului actului normative cu legislația UE </w:t>
            </w:r>
          </w:p>
          <w:p w:rsidR="00FD4E02" w:rsidRDefault="001B250E">
            <w:pPr>
              <w:tabs>
                <w:tab w:val="left" w:pos="884"/>
                <w:tab w:val="left" w:pos="1196"/>
              </w:tabs>
              <w:jc w:val="both"/>
              <w:rPr>
                <w:sz w:val="22"/>
                <w:lang w:val="en-US"/>
              </w:rPr>
            </w:pPr>
            <w:r>
              <w:rPr>
                <w:sz w:val="22"/>
                <w:lang w:val="en-US"/>
              </w:rPr>
              <w:t>Proiectul nu are ca scop transpunerea unor acte juridice ale Uniunii Europene și nu conține norme de armonizare directă cu acquis-ul Uniunii Europene</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 xml:space="preserve">6.Avizarea și consultarea publică a proiectului actului normative - </w:t>
            </w:r>
            <w:r>
              <w:rPr>
                <w:sz w:val="22"/>
                <w:lang w:val="en-US"/>
              </w:rPr>
              <w:t>,,Nu este aplicabil”</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 xml:space="preserve">7.Concluziile expertizelor - </w:t>
            </w:r>
            <w:r>
              <w:rPr>
                <w:sz w:val="22"/>
                <w:lang w:val="en-US"/>
              </w:rPr>
              <w:t>,,Nu este aplicabil”</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8. Modul de încorporare a actului în cadrul normativ în vigoare</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jc w:val="both"/>
              <w:rPr>
                <w:bCs/>
                <w:kern w:val="16"/>
                <w:sz w:val="22"/>
                <w:lang w:val="en-US"/>
              </w:rPr>
            </w:pPr>
            <w:r>
              <w:rPr>
                <w:bCs/>
                <w:sz w:val="22"/>
                <w:lang w:val="en-US"/>
              </w:rPr>
              <w:t>Adoptarea proiectului va determina corelarea actelor administrative și instituționale existente referitoare la Casa raională de Cultură „Nicolae Iorga” cu noua sa încadrare ca Palat de Cultură „Nicolae Iorga”, inclusiv prin actualizarea Regulamentului de organizare și funcționare, a structurii organizatorice, statului de personal, fișelor de post și, după caz, a altor acte interne. Necesitatea eliminării neconcordanțelor dintre denumirea instituției, competențele exercitate și regimul juridic efectiv de funcționare este prevăzută expres în circulara Ministerului Culturii.</w:t>
            </w:r>
            <w:r>
              <w:rPr>
                <w:bCs/>
                <w:sz w:val="22"/>
                <w:lang w:val="en-US"/>
              </w:rPr>
              <w:br/>
            </w:r>
            <w:r>
              <w:rPr>
                <w:bCs/>
                <w:kern w:val="16"/>
                <w:sz w:val="22"/>
                <w:lang w:val="en-US"/>
              </w:rPr>
              <w:t>Implementarea proiectului nu presupune elaborarea unui cadru normativ distinct, ci ajustarea și completarea actelor administrative existente în vederea asigurării concordanței acestora cu legislația în vigoare. Eventualele măsuri care vor produce efecte asupra raporturilor de muncă vor fi realizate cu respectarea prevederilor Codului muncii al Republicii Moldova și a garanțiilor legale acordate salariaților.</w:t>
            </w:r>
          </w:p>
        </w:tc>
      </w:tr>
      <w:tr w:rsidR="00FD4E02" w:rsidRPr="00FB2A2C">
        <w:tc>
          <w:tcPr>
            <w:tcW w:w="5000" w:type="pct"/>
            <w:tcBorders>
              <w:top w:val="single" w:sz="4" w:space="0" w:color="auto"/>
              <w:left w:val="single" w:sz="4" w:space="0" w:color="auto"/>
              <w:bottom w:val="single" w:sz="4" w:space="0" w:color="auto"/>
              <w:right w:val="single" w:sz="4" w:space="0" w:color="auto"/>
            </w:tcBorders>
          </w:tcPr>
          <w:p w:rsidR="00FD4E02" w:rsidRDefault="001B250E">
            <w:pPr>
              <w:tabs>
                <w:tab w:val="left" w:pos="884"/>
                <w:tab w:val="left" w:pos="1196"/>
              </w:tabs>
              <w:jc w:val="both"/>
              <w:rPr>
                <w:b/>
                <w:bCs/>
                <w:sz w:val="22"/>
                <w:lang w:val="en-US"/>
              </w:rPr>
            </w:pPr>
            <w:r>
              <w:rPr>
                <w:b/>
                <w:bCs/>
                <w:sz w:val="22"/>
                <w:lang w:val="en-US"/>
              </w:rPr>
              <w:t xml:space="preserve">9. Măsurile necesare pentru implementarea prevederilor proiectului actului normativ </w:t>
            </w:r>
          </w:p>
          <w:p w:rsidR="00FD4E02" w:rsidRDefault="001B250E">
            <w:pPr>
              <w:tabs>
                <w:tab w:val="left" w:pos="884"/>
                <w:tab w:val="left" w:pos="1196"/>
              </w:tabs>
              <w:jc w:val="both"/>
              <w:rPr>
                <w:sz w:val="22"/>
                <w:lang w:val="en-US"/>
              </w:rPr>
            </w:pPr>
            <w:r>
              <w:rPr>
                <w:sz w:val="22"/>
                <w:lang w:val="en-US"/>
              </w:rPr>
              <w:t>Implementarea proiectului de decizie presupune realizarea unui ansamblu de măsuri administrative și organizatorice necesare pentru încadrarea Casei raionale de Cultură „Nicolae Iorga” în tipologia „Palat de cultură” și asigurarea funcționării acesteia în conformitate cu prevederile Hotărârii Guvernului nr. 83/2023, cu modificările operate prin Hotărârea Guvernului nr. 560/2025.</w:t>
            </w:r>
          </w:p>
          <w:p w:rsidR="00FD4E02" w:rsidRDefault="001B250E">
            <w:pPr>
              <w:tabs>
                <w:tab w:val="left" w:pos="884"/>
                <w:tab w:val="left" w:pos="1196"/>
              </w:tabs>
              <w:jc w:val="both"/>
              <w:rPr>
                <w:sz w:val="22"/>
                <w:lang w:val="en-US"/>
              </w:rPr>
            </w:pPr>
            <w:r>
              <w:rPr>
                <w:sz w:val="22"/>
                <w:lang w:val="en-US"/>
              </w:rPr>
              <w:t>În acest scop, urmează a fi întreprinse următoarele măsuri:</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notificarea prealabilă în scris a Ministerului Culturii privind modificarea modului de organizare a instituției, conform procedurii aplicabile palatelor de cultură fără personalitate juridică; </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aprobarea și punerea în aplicare a Regulamentului de organizare și funcționare al Palatului de Cultură „Nicolae Iorga”, cu stabilirea expresă a statutului juridic, subordonării, misiunii, atribuțiilor cultural-artistice și metodologice; </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actualizarea, după caz, a structurii organizatorice, statului de personal, fișelor de post și a celorlalte documente interne, astfel încât acestea să corespundă noii tipologii și atribuțiilor instituției; circulara solicită corelarea structurii și documentelor instituționale cu statutul stabilit de fondator. </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operarea modificărilor corespunzătoare în actele administrative ale fondatorului și în evidențele instituționale, inclusiv în ceea ce privește utilizarea noii denumiri „Palatul de Cultură «Nicolae Iorga»”; </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asigurarea continuității activităților și serviciilor culturale, precum și organizarea exercitării atribuțiilor metodologice la nivelul raionului Sîngerei, specifice palatului de cultură; </w:t>
            </w:r>
          </w:p>
          <w:p w:rsidR="00FD4E02" w:rsidRDefault="001B250E" w:rsidP="00507AEB">
            <w:pPr>
              <w:numPr>
                <w:ilvl w:val="0"/>
                <w:numId w:val="3"/>
              </w:numPr>
              <w:tabs>
                <w:tab w:val="clear" w:pos="720"/>
                <w:tab w:val="left" w:pos="360"/>
                <w:tab w:val="left" w:pos="884"/>
                <w:tab w:val="left" w:pos="1196"/>
              </w:tabs>
              <w:ind w:left="33" w:firstLine="142"/>
              <w:jc w:val="both"/>
              <w:rPr>
                <w:sz w:val="22"/>
                <w:lang w:val="en-US"/>
              </w:rPr>
            </w:pPr>
            <w:r>
              <w:rPr>
                <w:sz w:val="22"/>
                <w:lang w:val="en-US"/>
              </w:rPr>
              <w:t xml:space="preserve">aplicarea, în cazul în care măsurile organizatorice vor afecta raporturile de muncă, a prevederilor Codului muncii al Republicii Moldova, cu respectarea drepturilor și garanțiilor salariaților. </w:t>
            </w:r>
          </w:p>
          <w:p w:rsidR="00FD4E02" w:rsidRDefault="001B250E" w:rsidP="00507AEB">
            <w:pPr>
              <w:tabs>
                <w:tab w:val="left" w:pos="884"/>
                <w:tab w:val="left" w:pos="1196"/>
              </w:tabs>
              <w:jc w:val="both"/>
              <w:rPr>
                <w:sz w:val="22"/>
                <w:lang w:val="en-US"/>
              </w:rPr>
            </w:pPr>
            <w:r>
              <w:rPr>
                <w:sz w:val="22"/>
                <w:lang w:val="en-US"/>
              </w:rPr>
              <w:t>Realizarea măsurilor va fi asigurată de Consiliul Raional Sîngerei, prin Secția Cultură, în limitele competențelor stabilite de legislație și de actele administrative ale autorității fondatoare, astfel încât trecerea la noul model de organizare să fie realizată fără întreruperea activității cultural-artistice și metodologice a instituției.</w:t>
            </w:r>
          </w:p>
        </w:tc>
      </w:tr>
    </w:tbl>
    <w:p w:rsidR="00FD4E02" w:rsidRDefault="001B250E">
      <w:pPr>
        <w:tabs>
          <w:tab w:val="left" w:pos="930"/>
        </w:tabs>
        <w:rPr>
          <w:b/>
          <w:bCs/>
          <w:lang w:val="ro-RO"/>
        </w:rPr>
      </w:pPr>
      <w:r>
        <w:rPr>
          <w:b/>
          <w:bCs/>
          <w:lang w:val="ro-RO"/>
        </w:rPr>
        <w:t xml:space="preserve">         ÎNTOCMIT                                                                                  SUSȚIN</w:t>
      </w:r>
    </w:p>
    <w:p w:rsidR="00FD4E02" w:rsidRDefault="001B250E">
      <w:pPr>
        <w:tabs>
          <w:tab w:val="left" w:pos="930"/>
        </w:tabs>
        <w:rPr>
          <w:b/>
          <w:bCs/>
          <w:lang w:val="ro-RO"/>
        </w:rPr>
      </w:pPr>
      <w:r>
        <w:rPr>
          <w:b/>
          <w:bCs/>
          <w:lang w:val="ro-RO"/>
        </w:rPr>
        <w:t xml:space="preserve">     Șef Șecția Cultură                                                     Vicepreședinta raionului Sîngerei</w:t>
      </w:r>
    </w:p>
    <w:p w:rsidR="00FD4E02" w:rsidRDefault="001B250E">
      <w:pPr>
        <w:tabs>
          <w:tab w:val="left" w:pos="930"/>
        </w:tabs>
        <w:rPr>
          <w:b/>
          <w:bCs/>
          <w:lang w:val="ro-RO"/>
        </w:rPr>
      </w:pPr>
      <w:r>
        <w:rPr>
          <w:b/>
          <w:bCs/>
          <w:lang w:val="ro-RO"/>
        </w:rPr>
        <w:t xml:space="preserve">        Cobîlaș Dionisie                                                                       Vera SERBUȘCA</w:t>
      </w:r>
    </w:p>
    <w:p w:rsidR="00FD4E02" w:rsidRDefault="001B250E">
      <w:pPr>
        <w:tabs>
          <w:tab w:val="left" w:pos="930"/>
        </w:tabs>
        <w:rPr>
          <w:b/>
          <w:bCs/>
          <w:lang w:val="ro-RO"/>
        </w:rPr>
      </w:pPr>
      <w:r>
        <w:rPr>
          <w:b/>
          <w:bCs/>
          <w:lang w:val="ro-RO"/>
        </w:rPr>
        <w:t>___________________                                                             ________________________</w:t>
      </w:r>
    </w:p>
    <w:p w:rsidR="00FD4E02" w:rsidRDefault="001B250E">
      <w:r>
        <w:br w:type="page"/>
      </w:r>
    </w:p>
    <w:tbl>
      <w:tblPr>
        <w:tblW w:w="5696"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6"/>
        <w:gridCol w:w="762"/>
      </w:tblGrid>
      <w:tr w:rsidR="00FD4E02">
        <w:trPr>
          <w:trHeight w:val="1977"/>
          <w:hidden/>
        </w:trPr>
        <w:tc>
          <w:tcPr>
            <w:tcW w:w="4653" w:type="pct"/>
            <w:tcBorders>
              <w:top w:val="nil"/>
              <w:left w:val="nil"/>
              <w:bottom w:val="nil"/>
              <w:right w:val="nil"/>
            </w:tcBorders>
          </w:tcPr>
          <w:p w:rsidR="00FD4E02" w:rsidRDefault="00FD4E02" w:rsidP="00132B85">
            <w:pPr>
              <w:rPr>
                <w:b/>
                <w:bCs/>
                <w:vanish/>
                <w:lang w:val="ro-RO"/>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2167"/>
            </w:tblGrid>
            <w:tr w:rsidR="00FD4E02" w:rsidTr="00AC3974">
              <w:trPr>
                <w:trHeight w:val="1985"/>
              </w:trPr>
              <w:tc>
                <w:tcPr>
                  <w:tcW w:w="1440" w:type="dxa"/>
                  <w:tcBorders>
                    <w:top w:val="nil"/>
                    <w:left w:val="nil"/>
                    <w:bottom w:val="single" w:sz="4" w:space="0" w:color="auto"/>
                    <w:right w:val="nil"/>
                  </w:tcBorders>
                </w:tcPr>
                <w:p w:rsidR="00FD4E02" w:rsidRDefault="001B250E" w:rsidP="00132B85">
                  <w:pPr>
                    <w:jc w:val="center"/>
                    <w:rPr>
                      <w:b/>
                      <w:lang w:val="ro-RO"/>
                    </w:rPr>
                  </w:pPr>
                  <w:r>
                    <w:rPr>
                      <w:b/>
                      <w:bCs/>
                      <w:lang w:val="ro-RO"/>
                    </w:rPr>
                    <w:t xml:space="preserve">        </w:t>
                  </w:r>
                </w:p>
                <w:p w:rsidR="00FD4E02" w:rsidRDefault="001B250E" w:rsidP="00132B85">
                  <w:pPr>
                    <w:rPr>
                      <w:lang w:val="ro-RO"/>
                    </w:rPr>
                  </w:pPr>
                  <w:r>
                    <w:rPr>
                      <w:noProof/>
                    </w:rPr>
                    <w:drawing>
                      <wp:anchor distT="0" distB="0" distL="114300" distR="114300" simplePos="0" relativeHeight="251662336" behindDoc="0" locked="0" layoutInCell="1" allowOverlap="0">
                        <wp:simplePos x="0" y="0"/>
                        <wp:positionH relativeFrom="margin">
                          <wp:posOffset>116205</wp:posOffset>
                        </wp:positionH>
                        <wp:positionV relativeFrom="margin">
                          <wp:posOffset>224790</wp:posOffset>
                        </wp:positionV>
                        <wp:extent cx="569595" cy="689610"/>
                        <wp:effectExtent l="0" t="0" r="1905" b="0"/>
                        <wp:wrapNone/>
                        <wp:docPr id="474390698" name="Рисунок 47439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90698" name="Рисунок 4743906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a:ln>
                                  <a:noFill/>
                                </a:ln>
                              </pic:spPr>
                            </pic:pic>
                          </a:graphicData>
                        </a:graphic>
                      </wp:anchor>
                    </w:drawing>
                  </w:r>
                </w:p>
              </w:tc>
              <w:tc>
                <w:tcPr>
                  <w:tcW w:w="6600" w:type="dxa"/>
                  <w:tcBorders>
                    <w:top w:val="nil"/>
                    <w:left w:val="nil"/>
                    <w:bottom w:val="single" w:sz="4" w:space="0" w:color="auto"/>
                    <w:right w:val="nil"/>
                  </w:tcBorders>
                </w:tcPr>
                <w:p w:rsidR="00FD4E02" w:rsidRDefault="00FD4E02" w:rsidP="00132B85">
                  <w:pPr>
                    <w:rPr>
                      <w:lang w:val="ro-RO"/>
                    </w:rPr>
                  </w:pPr>
                </w:p>
                <w:p w:rsidR="00FD4E02" w:rsidRPr="00AC3974" w:rsidRDefault="001B250E" w:rsidP="00AC3974">
                  <w:pPr>
                    <w:pStyle w:val="1"/>
                    <w:spacing w:line="360" w:lineRule="auto"/>
                    <w:jc w:val="center"/>
                    <w:rPr>
                      <w:rFonts w:ascii="Times New Roman" w:hAnsi="Times New Roman" w:cs="Times New Roman"/>
                      <w:b/>
                      <w:color w:val="000000" w:themeColor="text1"/>
                      <w:sz w:val="24"/>
                      <w:szCs w:val="24"/>
                      <w:lang w:val="it-IT"/>
                    </w:rPr>
                  </w:pPr>
                  <w:r w:rsidRPr="00AC3974">
                    <w:rPr>
                      <w:rFonts w:ascii="Times New Roman" w:hAnsi="Times New Roman" w:cs="Times New Roman"/>
                      <w:b/>
                      <w:color w:val="000000" w:themeColor="text1"/>
                      <w:sz w:val="24"/>
                      <w:szCs w:val="24"/>
                      <w:lang w:val="it-IT"/>
                    </w:rPr>
                    <w:t>REPUBLICA  MOLDOVA</w:t>
                  </w:r>
                  <w:r w:rsidRPr="00AC3974">
                    <w:rPr>
                      <w:rFonts w:ascii="Times New Roman" w:hAnsi="Times New Roman" w:cs="Times New Roman"/>
                      <w:b/>
                      <w:color w:val="000000" w:themeColor="text1"/>
                      <w:sz w:val="24"/>
                      <w:szCs w:val="24"/>
                      <w:lang w:val="it-IT"/>
                    </w:rPr>
                    <w:br/>
                    <w:t>CONSILIUL  RAIONAL  S</w:t>
                  </w:r>
                  <w:r w:rsidRPr="00AC3974">
                    <w:rPr>
                      <w:rFonts w:ascii="Times New Roman" w:hAnsi="Times New Roman" w:cs="Times New Roman"/>
                      <w:b/>
                      <w:color w:val="000000" w:themeColor="text1"/>
                      <w:sz w:val="24"/>
                      <w:szCs w:val="24"/>
                      <w:lang w:val="ro-RO"/>
                    </w:rPr>
                    <w:t>ÎNGEREI</w:t>
                  </w:r>
                </w:p>
                <w:p w:rsidR="00FD4E02" w:rsidRDefault="001B250E" w:rsidP="00AC3974">
                  <w:pPr>
                    <w:spacing w:line="360" w:lineRule="auto"/>
                    <w:rPr>
                      <w:lang w:val="it-IT"/>
                    </w:rPr>
                  </w:pPr>
                  <w:r>
                    <w:rPr>
                      <w:lang w:val="ro-RO"/>
                    </w:rPr>
                    <w:t xml:space="preserve">                           </w:t>
                  </w:r>
                  <w:r>
                    <w:rPr>
                      <w:b/>
                      <w:bCs/>
                      <w:lang w:val="ro-RO"/>
                    </w:rPr>
                    <w:t>PREȘEDINTELE  RAIONULUI</w:t>
                  </w:r>
                </w:p>
              </w:tc>
              <w:tc>
                <w:tcPr>
                  <w:tcW w:w="2167" w:type="dxa"/>
                  <w:tcBorders>
                    <w:top w:val="nil"/>
                    <w:left w:val="nil"/>
                    <w:bottom w:val="single" w:sz="4" w:space="0" w:color="auto"/>
                    <w:right w:val="nil"/>
                  </w:tcBorders>
                </w:tcPr>
                <w:p w:rsidR="00FD4E02" w:rsidRDefault="001B250E" w:rsidP="00132B85">
                  <w:pPr>
                    <w:jc w:val="center"/>
                    <w:rPr>
                      <w:lang w:val="it-IT"/>
                    </w:rPr>
                  </w:pPr>
                  <w:r>
                    <w:rPr>
                      <w:noProof/>
                    </w:rPr>
                    <w:drawing>
                      <wp:anchor distT="0" distB="0" distL="114300" distR="114300" simplePos="0" relativeHeight="251661312"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1123957940" name="Рисунок 112395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57940" name="Рисунок 11239579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a:ln>
                                  <a:noFill/>
                                </a:ln>
                              </pic:spPr>
                            </pic:pic>
                          </a:graphicData>
                        </a:graphic>
                      </wp:anchor>
                    </w:drawing>
                  </w:r>
                </w:p>
                <w:p w:rsidR="00FD4E02" w:rsidRDefault="001B250E" w:rsidP="00132B85">
                  <w:pPr>
                    <w:jc w:val="center"/>
                    <w:rPr>
                      <w:b/>
                      <w:lang w:val="en-US"/>
                    </w:rPr>
                  </w:pPr>
                  <w:r>
                    <w:rPr>
                      <w:b/>
                      <w:noProof/>
                    </w:rPr>
                    <w:drawing>
                      <wp:inline distT="0" distB="0" distL="0" distR="0">
                        <wp:extent cx="609600" cy="773430"/>
                        <wp:effectExtent l="0" t="0" r="0" b="7620"/>
                        <wp:docPr id="1472861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61164"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10880" cy="775348"/>
                                </a:xfrm>
                                <a:prstGeom prst="rect">
                                  <a:avLst/>
                                </a:prstGeom>
                                <a:noFill/>
                                <a:ln>
                                  <a:noFill/>
                                </a:ln>
                              </pic:spPr>
                            </pic:pic>
                          </a:graphicData>
                        </a:graphic>
                      </wp:inline>
                    </w:drawing>
                  </w:r>
                </w:p>
                <w:p w:rsidR="00FD4E02" w:rsidRDefault="00FD4E02" w:rsidP="00132B85">
                  <w:pPr>
                    <w:rPr>
                      <w:lang w:val="en-US"/>
                    </w:rPr>
                  </w:pPr>
                </w:p>
                <w:p w:rsidR="00FD4E02" w:rsidRDefault="00FD4E02" w:rsidP="00132B85">
                  <w:pPr>
                    <w:jc w:val="right"/>
                    <w:rPr>
                      <w:lang w:val="en-US"/>
                    </w:rPr>
                  </w:pPr>
                </w:p>
              </w:tc>
            </w:tr>
            <w:tr w:rsidR="00FD4E02" w:rsidRPr="00FB2A2C">
              <w:trPr>
                <w:trHeight w:val="70"/>
              </w:trPr>
              <w:tc>
                <w:tcPr>
                  <w:tcW w:w="10207" w:type="dxa"/>
                  <w:gridSpan w:val="3"/>
                  <w:tcBorders>
                    <w:top w:val="single" w:sz="4" w:space="0" w:color="auto"/>
                    <w:left w:val="nil"/>
                    <w:bottom w:val="thinThickSmallGap" w:sz="24" w:space="0" w:color="auto"/>
                    <w:right w:val="nil"/>
                  </w:tcBorders>
                </w:tcPr>
                <w:p w:rsidR="00FD4E02" w:rsidRDefault="001B250E" w:rsidP="00132B85">
                  <w:pPr>
                    <w:rPr>
                      <w:b/>
                      <w:lang w:val="ro-RO"/>
                    </w:rPr>
                  </w:pPr>
                  <w:r>
                    <w:rPr>
                      <w:b/>
                      <w:lang w:val="ro-RO"/>
                    </w:rPr>
                    <w:t xml:space="preserve">  Secția Cultură</w:t>
                  </w:r>
                </w:p>
              </w:tc>
            </w:tr>
          </w:tbl>
          <w:p w:rsidR="00FD4E02" w:rsidRDefault="001B250E" w:rsidP="00132B85">
            <w:pPr>
              <w:spacing w:line="276" w:lineRule="auto"/>
              <w:jc w:val="center"/>
              <w:rPr>
                <w:rFonts w:eastAsiaTheme="minorEastAsia"/>
                <w:b/>
                <w:lang w:val="en-US" w:eastAsia="en-US"/>
              </w:rPr>
            </w:pPr>
            <w:r>
              <w:rPr>
                <w:rFonts w:eastAsiaTheme="minorEastAsia"/>
                <w:b/>
                <w:lang w:val="en-US" w:eastAsia="en-US"/>
              </w:rPr>
              <w:t>PROIECT DE  DECIZIE nr. __________</w:t>
            </w:r>
          </w:p>
          <w:p w:rsidR="00FD4E02" w:rsidRDefault="001B250E" w:rsidP="00132B85">
            <w:pPr>
              <w:spacing w:line="276" w:lineRule="auto"/>
              <w:jc w:val="center"/>
              <w:rPr>
                <w:rFonts w:eastAsiaTheme="minorEastAsia"/>
                <w:b/>
                <w:lang w:val="en-US" w:eastAsia="en-US"/>
              </w:rPr>
            </w:pPr>
            <w:r>
              <w:rPr>
                <w:rFonts w:eastAsiaTheme="minorEastAsia"/>
                <w:b/>
                <w:lang w:val="en-US" w:eastAsia="en-US"/>
              </w:rPr>
              <w:t>din _________________ 202</w:t>
            </w:r>
            <w:r w:rsidR="00883C9D">
              <w:rPr>
                <w:rFonts w:eastAsiaTheme="minorEastAsia"/>
                <w:b/>
                <w:lang w:val="en-US" w:eastAsia="en-US"/>
              </w:rPr>
              <w:t>6</w:t>
            </w:r>
          </w:p>
          <w:p w:rsidR="00FD4E02" w:rsidRDefault="00FD4E02" w:rsidP="00132B85">
            <w:pPr>
              <w:rPr>
                <w:b/>
                <w:lang w:val="en-US"/>
              </w:rPr>
            </w:pPr>
          </w:p>
          <w:p w:rsidR="00883C9D" w:rsidRPr="00184FB7" w:rsidRDefault="00883C9D" w:rsidP="00132B85">
            <w:pPr>
              <w:jc w:val="both"/>
              <w:rPr>
                <w:b/>
                <w:lang w:val="en-US"/>
              </w:rPr>
            </w:pPr>
            <w:r w:rsidRPr="00184FB7">
              <w:rPr>
                <w:b/>
                <w:lang w:val="en-US"/>
              </w:rPr>
              <w:t>Cu privire la modificarea modului de organizare a Casei Raionale de Cultură</w:t>
            </w:r>
          </w:p>
          <w:p w:rsidR="00FD4E02" w:rsidRPr="00184FB7" w:rsidRDefault="00883C9D" w:rsidP="00132B85">
            <w:pPr>
              <w:jc w:val="both"/>
              <w:rPr>
                <w:b/>
                <w:kern w:val="16"/>
                <w:lang w:val="ro-RO"/>
              </w:rPr>
            </w:pPr>
            <w:r w:rsidRPr="00184FB7">
              <w:rPr>
                <w:b/>
                <w:lang w:val="en-US"/>
              </w:rPr>
              <w:t>,,Nicolae Iorga” din or. Sîngerei și stabilirea tipului acesteia - Palat de Cultură</w:t>
            </w:r>
          </w:p>
          <w:p w:rsidR="00FD4E02" w:rsidRDefault="00FD4E02" w:rsidP="00132B85">
            <w:pPr>
              <w:spacing w:line="276" w:lineRule="auto"/>
              <w:jc w:val="both"/>
              <w:rPr>
                <w:lang w:val="ro-RO"/>
              </w:rPr>
            </w:pPr>
          </w:p>
          <w:p w:rsidR="00883C9D" w:rsidRDefault="00132B85" w:rsidP="00132B85">
            <w:pPr>
              <w:spacing w:line="276" w:lineRule="auto"/>
              <w:ind w:firstLine="602"/>
              <w:jc w:val="both"/>
              <w:rPr>
                <w:lang w:val="en-US"/>
              </w:rPr>
            </w:pPr>
            <w:r>
              <w:rPr>
                <w:lang w:val="en-US"/>
              </w:rPr>
              <w:t xml:space="preserve">Având în vedere: </w:t>
            </w:r>
            <w:r w:rsidR="00883C9D" w:rsidRPr="00883C9D">
              <w:rPr>
                <w:lang w:val="en-US"/>
              </w:rPr>
              <w:t xml:space="preserve">Nota de fundamentare </w:t>
            </w:r>
            <w:r>
              <w:rPr>
                <w:lang w:val="en-US"/>
              </w:rPr>
              <w:t>c</w:t>
            </w:r>
            <w:r w:rsidRPr="00132B85">
              <w:rPr>
                <w:lang w:val="en-US"/>
              </w:rPr>
              <w:t>u privire la modificarea modului de organizare a Casei Raionale de Cultură</w:t>
            </w:r>
            <w:r>
              <w:rPr>
                <w:lang w:val="en-US"/>
              </w:rPr>
              <w:t xml:space="preserve"> „</w:t>
            </w:r>
            <w:r w:rsidRPr="00132B85">
              <w:rPr>
                <w:lang w:val="en-US"/>
              </w:rPr>
              <w:t>Nicolae Iorga” din or. Sîngerei și stabilirea tipului acesteia - Palat de Cultură</w:t>
            </w:r>
            <w:r>
              <w:rPr>
                <w:lang w:val="en-US"/>
              </w:rPr>
              <w:t>;</w:t>
            </w:r>
          </w:p>
          <w:p w:rsidR="00883C9D" w:rsidRDefault="00132B85" w:rsidP="00132B85">
            <w:pPr>
              <w:spacing w:line="276" w:lineRule="auto"/>
              <w:ind w:firstLine="602"/>
              <w:jc w:val="both"/>
              <w:rPr>
                <w:lang w:val="en-US"/>
              </w:rPr>
            </w:pPr>
            <w:r>
              <w:rPr>
                <w:lang w:val="en-US"/>
              </w:rPr>
              <w:t>Î</w:t>
            </w:r>
            <w:r w:rsidR="00883C9D" w:rsidRPr="00883C9D">
              <w:rPr>
                <w:lang w:val="en-US"/>
              </w:rPr>
              <w:t>n temeiul art. 43 alin. (1) lit. r) și art. 46 din Legea nr. 436/2006 privind administrația</w:t>
            </w:r>
            <w:r>
              <w:rPr>
                <w:lang w:val="en-US"/>
              </w:rPr>
              <w:t xml:space="preserve"> </w:t>
            </w:r>
            <w:r w:rsidR="00883C9D" w:rsidRPr="00883C9D">
              <w:rPr>
                <w:lang w:val="en-US"/>
              </w:rPr>
              <w:t xml:space="preserve">publică locală, art. 19 alin. (2¹) din Legea culturii nr. 413/1999, </w:t>
            </w:r>
            <w:r w:rsidR="00284463">
              <w:rPr>
                <w:lang w:val="en-US"/>
              </w:rPr>
              <w:t xml:space="preserve">Legea 100/2017 cu privire la actele normative, </w:t>
            </w:r>
            <w:r w:rsidR="00883C9D" w:rsidRPr="00883C9D">
              <w:rPr>
                <w:lang w:val="en-US"/>
              </w:rPr>
              <w:t xml:space="preserve">pct. 3, </w:t>
            </w:r>
            <w:r w:rsidRPr="00132B85">
              <w:rPr>
                <w:lang w:val="en-US"/>
              </w:rPr>
              <w:t xml:space="preserve">pct. </w:t>
            </w:r>
            <w:r w:rsidR="00883C9D" w:rsidRPr="00883C9D">
              <w:rPr>
                <w:lang w:val="en-US"/>
              </w:rPr>
              <w:t xml:space="preserve">6, </w:t>
            </w:r>
            <w:r w:rsidRPr="00132B85">
              <w:rPr>
                <w:lang w:val="en-US"/>
              </w:rPr>
              <w:t xml:space="preserve">pct. </w:t>
            </w:r>
            <w:r w:rsidR="00883C9D" w:rsidRPr="00883C9D">
              <w:rPr>
                <w:lang w:val="en-US"/>
              </w:rPr>
              <w:t>10</w:t>
            </w:r>
            <w:r>
              <w:rPr>
                <w:lang w:val="en-US"/>
              </w:rPr>
              <w:t xml:space="preserve"> și </w:t>
            </w:r>
            <w:r w:rsidRPr="00132B85">
              <w:rPr>
                <w:lang w:val="en-US"/>
              </w:rPr>
              <w:t xml:space="preserve">pct. </w:t>
            </w:r>
            <w:r w:rsidR="00883C9D" w:rsidRPr="00883C9D">
              <w:rPr>
                <w:lang w:val="en-US"/>
              </w:rPr>
              <w:t xml:space="preserve">15¹ din Regulamentul de organizare și funcționare a casei de </w:t>
            </w:r>
            <w:r>
              <w:rPr>
                <w:lang w:val="en-US"/>
              </w:rPr>
              <w:t xml:space="preserve">cultură, aprobat prin Hotărârea </w:t>
            </w:r>
            <w:r w:rsidR="00883C9D" w:rsidRPr="00883C9D">
              <w:rPr>
                <w:lang w:val="en-US"/>
              </w:rPr>
              <w:t>Guvernului nr. 83/2</w:t>
            </w:r>
            <w:r>
              <w:rPr>
                <w:lang w:val="en-US"/>
              </w:rPr>
              <w:t>023,</w:t>
            </w:r>
            <w:r w:rsidR="00284463" w:rsidRPr="00284463">
              <w:rPr>
                <w:lang w:val="en-US"/>
              </w:rPr>
              <w:t xml:space="preserve"> cu modificările ulterioare</w:t>
            </w:r>
            <w:r w:rsidR="00284463">
              <w:rPr>
                <w:lang w:val="en-US"/>
              </w:rPr>
              <w:t>,</w:t>
            </w:r>
            <w:r w:rsidR="00284463" w:rsidRPr="00284463">
              <w:rPr>
                <w:lang w:val="en-US"/>
              </w:rPr>
              <w:t xml:space="preserve"> Decizia nr. 7/10 din 26 septembrie 2024</w:t>
            </w:r>
            <w:r w:rsidR="00284463">
              <w:rPr>
                <w:lang w:val="en-US"/>
              </w:rPr>
              <w:t xml:space="preserve"> „</w:t>
            </w:r>
            <w:r w:rsidR="00284463" w:rsidRPr="00284463">
              <w:rPr>
                <w:lang w:val="en-US"/>
              </w:rPr>
              <w:t>Cu privire la aprobarea structurii și efectivului-limită ale Secției Cultură</w:t>
            </w:r>
            <w:r w:rsidR="00284463">
              <w:rPr>
                <w:lang w:val="en-US"/>
              </w:rPr>
              <w:t>”</w:t>
            </w:r>
            <w:r>
              <w:rPr>
                <w:lang w:val="en-US"/>
              </w:rPr>
              <w:t xml:space="preserve"> și având în vedere </w:t>
            </w:r>
            <w:r w:rsidRPr="00132B85">
              <w:rPr>
                <w:lang w:val="en-US"/>
              </w:rPr>
              <w:t xml:space="preserve">necesitatea </w:t>
            </w:r>
            <w:r>
              <w:rPr>
                <w:lang w:val="en-US"/>
              </w:rPr>
              <w:t xml:space="preserve">conformării modului de </w:t>
            </w:r>
            <w:r w:rsidRPr="00132B85">
              <w:rPr>
                <w:lang w:val="en-US"/>
              </w:rPr>
              <w:t>organizare și funcționare a Casei raionale de Cultură „</w:t>
            </w:r>
            <w:r>
              <w:rPr>
                <w:lang w:val="en-US"/>
              </w:rPr>
              <w:t xml:space="preserve">Nicolae Iorga” din or. Sîngerei cu </w:t>
            </w:r>
            <w:r w:rsidRPr="00132B85">
              <w:rPr>
                <w:lang w:val="en-US"/>
              </w:rPr>
              <w:t>prevederilor cadrului normativ în vigoare</w:t>
            </w:r>
            <w:r>
              <w:rPr>
                <w:lang w:val="en-US"/>
              </w:rPr>
              <w:t>,</w:t>
            </w:r>
          </w:p>
          <w:p w:rsidR="00777191" w:rsidRPr="00132B85" w:rsidRDefault="00132B85" w:rsidP="00132B85">
            <w:pPr>
              <w:spacing w:line="276" w:lineRule="auto"/>
              <w:ind w:firstLine="602"/>
              <w:jc w:val="both"/>
              <w:rPr>
                <w:b/>
                <w:lang w:val="en-US"/>
              </w:rPr>
            </w:pPr>
            <w:r w:rsidRPr="00132B85">
              <w:rPr>
                <w:b/>
                <w:lang w:val="en-US"/>
              </w:rPr>
              <w:t xml:space="preserve">Consiliul </w:t>
            </w:r>
            <w:r>
              <w:rPr>
                <w:b/>
                <w:lang w:val="en-US"/>
              </w:rPr>
              <w:t>raional,</w:t>
            </w:r>
          </w:p>
          <w:p w:rsidR="00FD4E02" w:rsidRDefault="001B250E" w:rsidP="00284463">
            <w:pPr>
              <w:spacing w:line="276" w:lineRule="auto"/>
              <w:jc w:val="both"/>
              <w:rPr>
                <w:b/>
                <w:lang w:val="it-IT"/>
              </w:rPr>
            </w:pPr>
            <w:r>
              <w:rPr>
                <w:b/>
                <w:lang w:val="it-IT"/>
              </w:rPr>
              <w:t xml:space="preserve">                                                            D E C I D E:</w:t>
            </w:r>
          </w:p>
          <w:p w:rsidR="00284463" w:rsidRDefault="00284463" w:rsidP="00284463">
            <w:pPr>
              <w:pStyle w:val="a8"/>
              <w:numPr>
                <w:ilvl w:val="0"/>
                <w:numId w:val="4"/>
              </w:numPr>
              <w:tabs>
                <w:tab w:val="left" w:pos="903"/>
              </w:tabs>
              <w:spacing w:line="276" w:lineRule="auto"/>
              <w:ind w:left="0" w:firstLine="602"/>
              <w:jc w:val="both"/>
              <w:rPr>
                <w:lang w:val="en-US"/>
              </w:rPr>
            </w:pPr>
            <w:r w:rsidRPr="00284463">
              <w:rPr>
                <w:lang w:val="en-US"/>
              </w:rPr>
              <w:t>Se modifică modul de organizare a Casei raionale de Cultură „Nicolae Iorga” din or. Sîngerei, prin stabilirea tipului acesteia – Palat de cultură, fără personalitate juridică.</w:t>
            </w:r>
          </w:p>
          <w:p w:rsidR="00FD4E02" w:rsidRDefault="001B250E" w:rsidP="00284463">
            <w:pPr>
              <w:pStyle w:val="a8"/>
              <w:numPr>
                <w:ilvl w:val="0"/>
                <w:numId w:val="4"/>
              </w:numPr>
              <w:tabs>
                <w:tab w:val="left" w:pos="903"/>
              </w:tabs>
              <w:spacing w:line="276" w:lineRule="auto"/>
              <w:ind w:left="0" w:firstLine="602"/>
              <w:jc w:val="both"/>
              <w:rPr>
                <w:lang w:val="en-US"/>
              </w:rPr>
            </w:pPr>
            <w:r>
              <w:rPr>
                <w:lang w:val="en-US"/>
              </w:rPr>
              <w:t>Se modif</w:t>
            </w:r>
            <w:r w:rsidR="00284463">
              <w:rPr>
                <w:lang w:val="en-US"/>
              </w:rPr>
              <w:t xml:space="preserve">ică denumirea </w:t>
            </w:r>
            <w:r w:rsidR="00981671" w:rsidRPr="00981671">
              <w:rPr>
                <w:lang w:val="en-US"/>
              </w:rPr>
              <w:t xml:space="preserve">Casei raionale de Cultură „Nicolae Iorga” </w:t>
            </w:r>
            <w:r>
              <w:rPr>
                <w:lang w:val="en-US"/>
              </w:rPr>
              <w:t xml:space="preserve">din or. Sîngerei în </w:t>
            </w:r>
            <w:r w:rsidR="00284463">
              <w:rPr>
                <w:lang w:val="en-US"/>
              </w:rPr>
              <w:t>„</w:t>
            </w:r>
            <w:r>
              <w:rPr>
                <w:lang w:val="en-US"/>
              </w:rPr>
              <w:t xml:space="preserve">Palat de Cultură </w:t>
            </w:r>
            <w:r w:rsidR="00284463">
              <w:rPr>
                <w:lang w:val="en-US"/>
              </w:rPr>
              <w:t>„</w:t>
            </w:r>
            <w:r>
              <w:rPr>
                <w:lang w:val="en-US"/>
              </w:rPr>
              <w:t>Nicolae Iorga</w:t>
            </w:r>
            <w:r w:rsidR="00284463">
              <w:rPr>
                <w:lang w:val="en-US"/>
              </w:rPr>
              <w:t>”</w:t>
            </w:r>
            <w:r>
              <w:rPr>
                <w:lang w:val="en-US"/>
              </w:rPr>
              <w:t xml:space="preserve"> din or. Sîngerei</w:t>
            </w:r>
            <w:r w:rsidR="00284463">
              <w:rPr>
                <w:lang w:val="en-US"/>
              </w:rPr>
              <w:t>”.</w:t>
            </w:r>
          </w:p>
          <w:p w:rsidR="00284463" w:rsidRDefault="00904AFA" w:rsidP="00284463">
            <w:pPr>
              <w:pStyle w:val="a8"/>
              <w:numPr>
                <w:ilvl w:val="0"/>
                <w:numId w:val="4"/>
              </w:numPr>
              <w:tabs>
                <w:tab w:val="left" w:pos="843"/>
              </w:tabs>
              <w:spacing w:line="276" w:lineRule="auto"/>
              <w:ind w:left="0" w:firstLine="602"/>
              <w:jc w:val="both"/>
              <w:rPr>
                <w:lang w:val="en-US"/>
              </w:rPr>
            </w:pPr>
            <w:r>
              <w:rPr>
                <w:lang w:val="en-US"/>
              </w:rPr>
              <w:t xml:space="preserve"> </w:t>
            </w:r>
            <w:r w:rsidR="00284463" w:rsidRPr="00284463">
              <w:rPr>
                <w:lang w:val="en-US"/>
              </w:rPr>
              <w:t>Se aprobă Regulamentul de organizare și funcționare al Palatului de Cultură „Nicolae Iorga” din or. Sîngerei</w:t>
            </w:r>
            <w:r>
              <w:rPr>
                <w:lang w:val="en-US"/>
              </w:rPr>
              <w:t>, conform A</w:t>
            </w:r>
            <w:r w:rsidR="00284463" w:rsidRPr="00284463">
              <w:rPr>
                <w:lang w:val="en-US"/>
              </w:rPr>
              <w:t>nexei nr. 1, parte integrantă a prezentei decizii.</w:t>
            </w:r>
          </w:p>
          <w:p w:rsidR="00E07705" w:rsidRDefault="00284463" w:rsidP="00E07705">
            <w:pPr>
              <w:pStyle w:val="a8"/>
              <w:numPr>
                <w:ilvl w:val="0"/>
                <w:numId w:val="4"/>
              </w:numPr>
              <w:tabs>
                <w:tab w:val="left" w:pos="948"/>
              </w:tabs>
              <w:spacing w:line="276" w:lineRule="auto"/>
              <w:ind w:left="0" w:firstLine="602"/>
              <w:jc w:val="both"/>
              <w:rPr>
                <w:lang w:val="en-US"/>
              </w:rPr>
            </w:pPr>
            <w:r>
              <w:rPr>
                <w:lang w:val="en-US"/>
              </w:rPr>
              <w:t xml:space="preserve">Se stabilește că </w:t>
            </w:r>
            <w:r w:rsidRPr="00284463">
              <w:rPr>
                <w:lang w:val="en-US"/>
              </w:rPr>
              <w:t>Palatul de Cultură „Nicolae Iorga”</w:t>
            </w:r>
            <w:r w:rsidR="00FB2A2C">
              <w:rPr>
                <w:lang w:val="en-US"/>
              </w:rPr>
              <w:t xml:space="preserve"> din or. Sîngerei</w:t>
            </w:r>
            <w:bookmarkStart w:id="0" w:name="_GoBack"/>
            <w:bookmarkEnd w:id="0"/>
            <w:r w:rsidRPr="00284463">
              <w:rPr>
                <w:lang w:val="en-US"/>
              </w:rPr>
              <w:t xml:space="preserve"> își desfășoară activitatea în cadrul structurii organizatorice a Secției Cultură a Consiliului raional Sîngerei</w:t>
            </w:r>
            <w:r w:rsidR="00E07705">
              <w:rPr>
                <w:lang w:val="en-US"/>
              </w:rPr>
              <w:t>, fiind</w:t>
            </w:r>
            <w:r w:rsidR="00E07705" w:rsidRPr="00E07705">
              <w:rPr>
                <w:lang w:val="en-US"/>
              </w:rPr>
              <w:t xml:space="preserve"> succesorul de drepturi și obligații al Casei raionale de Cultură „Nicolae Iorga”, </w:t>
            </w:r>
            <w:r w:rsidR="00AF0DAF">
              <w:rPr>
                <w:lang w:val="en-US"/>
              </w:rPr>
              <w:t>și exercitând suplimentar</w:t>
            </w:r>
            <w:r w:rsidR="00E07705" w:rsidRPr="00E07705">
              <w:rPr>
                <w:lang w:val="en-US"/>
              </w:rPr>
              <w:t xml:space="preserve"> atribuții metodologice și de coordonare a activității caselor de cultură din raion, în condițiile legislației.</w:t>
            </w:r>
            <w:r w:rsidR="00E07705">
              <w:rPr>
                <w:lang w:val="en-US"/>
              </w:rPr>
              <w:t xml:space="preserve">  </w:t>
            </w:r>
          </w:p>
          <w:p w:rsidR="00184FB7" w:rsidRPr="00184FB7" w:rsidRDefault="00184FB7" w:rsidP="00E07705">
            <w:pPr>
              <w:pStyle w:val="a8"/>
              <w:numPr>
                <w:ilvl w:val="0"/>
                <w:numId w:val="4"/>
              </w:numPr>
              <w:tabs>
                <w:tab w:val="left" w:pos="948"/>
              </w:tabs>
              <w:spacing w:line="276" w:lineRule="auto"/>
              <w:ind w:left="34" w:firstLine="568"/>
              <w:jc w:val="both"/>
              <w:rPr>
                <w:lang w:val="en-US"/>
              </w:rPr>
            </w:pPr>
            <w:r w:rsidRPr="00184FB7">
              <w:rPr>
                <w:lang w:val="en-US"/>
              </w:rPr>
              <w:t xml:space="preserve">Se modifică </w:t>
            </w:r>
            <w:r>
              <w:rPr>
                <w:lang w:val="en-US"/>
              </w:rPr>
              <w:t>A</w:t>
            </w:r>
            <w:r w:rsidRPr="00184FB7">
              <w:rPr>
                <w:lang w:val="en-US"/>
              </w:rPr>
              <w:t>nexele nr. 1 și nr. 2 la Decizia Consiliului raional Sîngerei nr. 7/10 din 26</w:t>
            </w:r>
            <w:r>
              <w:rPr>
                <w:lang w:val="en-US"/>
              </w:rPr>
              <w:t xml:space="preserve"> </w:t>
            </w:r>
            <w:r w:rsidRPr="00184FB7">
              <w:rPr>
                <w:lang w:val="en-US"/>
              </w:rPr>
              <w:t>septembrie 2024 „Cu privire la aprobarea structurii și efectivului-limită ale Secției Cultură”, în</w:t>
            </w:r>
            <w:r>
              <w:rPr>
                <w:lang w:val="en-US"/>
              </w:rPr>
              <w:t xml:space="preserve"> </w:t>
            </w:r>
            <w:r w:rsidRPr="00184FB7">
              <w:rPr>
                <w:lang w:val="en-US"/>
              </w:rPr>
              <w:t>partea ce ține de Casa raională de Cultură „Nicolae Iorga”, după cum urmează:</w:t>
            </w:r>
          </w:p>
          <w:p w:rsidR="00184FB7" w:rsidRPr="00184FB7" w:rsidRDefault="00184FB7" w:rsidP="00184FB7">
            <w:pPr>
              <w:pStyle w:val="a8"/>
              <w:tabs>
                <w:tab w:val="left" w:pos="948"/>
              </w:tabs>
              <w:spacing w:line="276" w:lineRule="auto"/>
              <w:ind w:left="34" w:firstLine="568"/>
              <w:jc w:val="both"/>
              <w:rPr>
                <w:lang w:val="en-US"/>
              </w:rPr>
            </w:pPr>
            <w:r>
              <w:rPr>
                <w:lang w:val="en-US"/>
              </w:rPr>
              <w:t>5</w:t>
            </w:r>
            <w:r w:rsidRPr="00184FB7">
              <w:rPr>
                <w:lang w:val="en-US"/>
              </w:rPr>
              <w:t>.1.</w:t>
            </w:r>
            <w:r>
              <w:rPr>
                <w:lang w:val="en-US"/>
              </w:rPr>
              <w:t xml:space="preserve"> Î</w:t>
            </w:r>
            <w:r w:rsidRPr="00184FB7">
              <w:rPr>
                <w:lang w:val="en-US"/>
              </w:rPr>
              <w:t xml:space="preserve">n </w:t>
            </w:r>
            <w:r>
              <w:rPr>
                <w:lang w:val="en-US"/>
              </w:rPr>
              <w:t>A</w:t>
            </w:r>
            <w:r w:rsidRPr="00184FB7">
              <w:rPr>
                <w:lang w:val="en-US"/>
              </w:rPr>
              <w:t>nexa nr. 1, denum</w:t>
            </w:r>
            <w:r>
              <w:rPr>
                <w:lang w:val="en-US"/>
              </w:rPr>
              <w:t>irea „Casa Raională de Cultură „</w:t>
            </w:r>
            <w:r w:rsidRPr="00184FB7">
              <w:rPr>
                <w:lang w:val="en-US"/>
              </w:rPr>
              <w:t>Nicolae Iorga” se substituie cu</w:t>
            </w:r>
            <w:r>
              <w:rPr>
                <w:lang w:val="en-US"/>
              </w:rPr>
              <w:t xml:space="preserve"> </w:t>
            </w:r>
            <w:r w:rsidRPr="00184FB7">
              <w:rPr>
                <w:lang w:val="en-US"/>
              </w:rPr>
              <w:t>denumirea „Palatul de Cultură „Nicolae Iorga”;</w:t>
            </w:r>
          </w:p>
          <w:p w:rsidR="00284463" w:rsidRDefault="00184FB7" w:rsidP="00184FB7">
            <w:pPr>
              <w:pStyle w:val="a8"/>
              <w:tabs>
                <w:tab w:val="left" w:pos="948"/>
              </w:tabs>
              <w:spacing w:line="276" w:lineRule="auto"/>
              <w:ind w:left="34" w:firstLine="568"/>
              <w:jc w:val="both"/>
              <w:rPr>
                <w:lang w:val="en-US"/>
              </w:rPr>
            </w:pPr>
            <w:r>
              <w:rPr>
                <w:lang w:val="en-US"/>
              </w:rPr>
              <w:t>5.2. Î</w:t>
            </w:r>
            <w:r w:rsidRPr="00184FB7">
              <w:rPr>
                <w:lang w:val="en-US"/>
              </w:rPr>
              <w:t>n anexa nr. 2, Tabelul II, poziția 2 „Casa Raională de Cultu</w:t>
            </w:r>
            <w:r>
              <w:rPr>
                <w:lang w:val="en-US"/>
              </w:rPr>
              <w:t xml:space="preserve">ră Nicolae Iorga” se substituie </w:t>
            </w:r>
            <w:r w:rsidRPr="00184FB7">
              <w:rPr>
                <w:lang w:val="en-US"/>
              </w:rPr>
              <w:t xml:space="preserve">cu poziția „Palatul de Cultură </w:t>
            </w:r>
            <w:r>
              <w:rPr>
                <w:lang w:val="en-US"/>
              </w:rPr>
              <w:t>„Nicolae Iorga</w:t>
            </w:r>
            <w:r w:rsidRPr="00184FB7">
              <w:rPr>
                <w:lang w:val="en-US"/>
              </w:rPr>
              <w:t>”;</w:t>
            </w:r>
          </w:p>
          <w:p w:rsidR="00904AFA" w:rsidRPr="00904AFA" w:rsidRDefault="00904AFA" w:rsidP="00904AFA">
            <w:pPr>
              <w:pStyle w:val="a8"/>
              <w:numPr>
                <w:ilvl w:val="0"/>
                <w:numId w:val="4"/>
              </w:numPr>
              <w:tabs>
                <w:tab w:val="left" w:pos="843"/>
              </w:tabs>
              <w:spacing w:line="276" w:lineRule="auto"/>
              <w:ind w:left="-108" w:firstLine="710"/>
              <w:jc w:val="both"/>
              <w:rPr>
                <w:lang w:val="en-US"/>
              </w:rPr>
            </w:pPr>
            <w:r w:rsidRPr="00904AFA">
              <w:rPr>
                <w:lang w:val="en-US"/>
              </w:rPr>
              <w:t>Secția Cultură a Consiliului raional Sîngerei va asigura:</w:t>
            </w:r>
          </w:p>
          <w:p w:rsidR="00904AFA" w:rsidRPr="00904AFA" w:rsidRDefault="00904AFA" w:rsidP="00904AFA">
            <w:pPr>
              <w:pStyle w:val="a8"/>
              <w:spacing w:line="276" w:lineRule="auto"/>
              <w:ind w:left="34" w:firstLine="568"/>
              <w:jc w:val="both"/>
              <w:rPr>
                <w:lang w:val="en-US"/>
              </w:rPr>
            </w:pPr>
            <w:r>
              <w:rPr>
                <w:lang w:val="en-US"/>
              </w:rPr>
              <w:t>6.</w:t>
            </w:r>
            <w:r w:rsidR="00AC3974">
              <w:rPr>
                <w:lang w:val="en-US"/>
              </w:rPr>
              <w:t>1</w:t>
            </w:r>
            <w:r>
              <w:rPr>
                <w:lang w:val="en-US"/>
              </w:rPr>
              <w:t xml:space="preserve">. </w:t>
            </w:r>
            <w:r w:rsidRPr="00904AFA">
              <w:rPr>
                <w:lang w:val="en-US"/>
              </w:rPr>
              <w:t>notificarea prealabilă, în scris, a autorității centr</w:t>
            </w:r>
            <w:r w:rsidR="00AF0DAF">
              <w:rPr>
                <w:lang w:val="en-US"/>
              </w:rPr>
              <w:t>ale de specialitate responsabile</w:t>
            </w:r>
            <w:r w:rsidRPr="00904AFA">
              <w:rPr>
                <w:lang w:val="en-US"/>
              </w:rPr>
              <w:t xml:space="preserve"> de domeniul</w:t>
            </w:r>
            <w:r>
              <w:rPr>
                <w:lang w:val="en-US"/>
              </w:rPr>
              <w:t xml:space="preserve"> </w:t>
            </w:r>
            <w:r w:rsidRPr="00904AFA">
              <w:rPr>
                <w:lang w:val="en-US"/>
              </w:rPr>
              <w:t>culturii privind modificarea modului de organizare a Casei raionale de Cultură „Nicolae Iorga”;</w:t>
            </w:r>
          </w:p>
          <w:p w:rsidR="00904AFA" w:rsidRPr="00904AFA" w:rsidRDefault="00904AFA" w:rsidP="00904AFA">
            <w:pPr>
              <w:pStyle w:val="a8"/>
              <w:spacing w:line="276" w:lineRule="auto"/>
              <w:ind w:left="34" w:firstLine="568"/>
              <w:jc w:val="both"/>
              <w:rPr>
                <w:lang w:val="en-US"/>
              </w:rPr>
            </w:pPr>
            <w:r>
              <w:rPr>
                <w:lang w:val="en-US"/>
              </w:rPr>
              <w:t>6</w:t>
            </w:r>
            <w:r w:rsidRPr="00904AFA">
              <w:rPr>
                <w:lang w:val="en-US"/>
              </w:rPr>
              <w:t>.</w:t>
            </w:r>
            <w:r w:rsidR="00AC3974">
              <w:rPr>
                <w:lang w:val="en-US"/>
              </w:rPr>
              <w:t>2</w:t>
            </w:r>
            <w:r w:rsidRPr="00904AFA">
              <w:rPr>
                <w:lang w:val="en-US"/>
              </w:rPr>
              <w:t>. aducerea actelor administrative și a documentelor interne ale Palatului de Cultură „Nicolae</w:t>
            </w:r>
            <w:r>
              <w:rPr>
                <w:lang w:val="en-US"/>
              </w:rPr>
              <w:t xml:space="preserve"> </w:t>
            </w:r>
            <w:r w:rsidRPr="00904AFA">
              <w:rPr>
                <w:lang w:val="en-US"/>
              </w:rPr>
              <w:t>Iorga” în concordanță cu prezenta decizie și Regulamentul aprobat;</w:t>
            </w:r>
          </w:p>
          <w:p w:rsidR="00904AFA" w:rsidRDefault="00904AFA" w:rsidP="00904AFA">
            <w:pPr>
              <w:pStyle w:val="a8"/>
              <w:spacing w:line="276" w:lineRule="auto"/>
              <w:ind w:left="0" w:firstLine="602"/>
              <w:jc w:val="both"/>
              <w:rPr>
                <w:lang w:val="en-US"/>
              </w:rPr>
            </w:pPr>
            <w:r>
              <w:rPr>
                <w:lang w:val="en-US"/>
              </w:rPr>
              <w:t>6</w:t>
            </w:r>
            <w:r w:rsidRPr="00904AFA">
              <w:rPr>
                <w:lang w:val="en-US"/>
              </w:rPr>
              <w:t>.3. realizarea măsurilor organizatorice necesare pentru asigurarea continuității activității și</w:t>
            </w:r>
            <w:r>
              <w:rPr>
                <w:lang w:val="en-US"/>
              </w:rPr>
              <w:t xml:space="preserve"> </w:t>
            </w:r>
            <w:r w:rsidRPr="00904AFA">
              <w:rPr>
                <w:lang w:val="en-US"/>
              </w:rPr>
              <w:t>exercitarea atribuțiilor metodologice ale Palatului de cultură.</w:t>
            </w:r>
          </w:p>
          <w:p w:rsidR="00AC3974" w:rsidRDefault="00AC3974" w:rsidP="00AC3974">
            <w:pPr>
              <w:pStyle w:val="a8"/>
              <w:numPr>
                <w:ilvl w:val="0"/>
                <w:numId w:val="4"/>
              </w:numPr>
              <w:tabs>
                <w:tab w:val="left" w:pos="798"/>
              </w:tabs>
              <w:spacing w:line="276" w:lineRule="auto"/>
              <w:ind w:left="-108" w:firstLine="602"/>
              <w:jc w:val="both"/>
              <w:rPr>
                <w:lang w:val="en-US"/>
              </w:rPr>
            </w:pPr>
            <w:r w:rsidRPr="00AC3974">
              <w:rPr>
                <w:lang w:val="en-US"/>
              </w:rPr>
              <w:lastRenderedPageBreak/>
              <w:t xml:space="preserve">Executarea prezentei decizii se pune în sarcina </w:t>
            </w:r>
            <w:r>
              <w:rPr>
                <w:lang w:val="en-US"/>
              </w:rPr>
              <w:t>Șefului Secției Cultură</w:t>
            </w:r>
            <w:r w:rsidRPr="00AC3974">
              <w:rPr>
                <w:lang w:val="en-US"/>
              </w:rPr>
              <w:t>, d</w:t>
            </w:r>
            <w:r>
              <w:rPr>
                <w:lang w:val="en-US"/>
              </w:rPr>
              <w:t>l</w:t>
            </w:r>
            <w:r w:rsidRPr="00AC3974">
              <w:rPr>
                <w:lang w:val="en-US"/>
              </w:rPr>
              <w:t xml:space="preserve"> </w:t>
            </w:r>
            <w:r>
              <w:rPr>
                <w:lang w:val="en-US"/>
              </w:rPr>
              <w:t>Dionisie COBÎLAȘ și Vicepreședintei raionului, dna Vera SERBUȘCA</w:t>
            </w:r>
            <w:r w:rsidRPr="00AC3974">
              <w:rPr>
                <w:lang w:val="en-US"/>
              </w:rPr>
              <w:t>.</w:t>
            </w:r>
          </w:p>
          <w:p w:rsidR="00AC3974" w:rsidRDefault="00AC3974" w:rsidP="00AC3974">
            <w:pPr>
              <w:pStyle w:val="a8"/>
              <w:numPr>
                <w:ilvl w:val="0"/>
                <w:numId w:val="4"/>
              </w:numPr>
              <w:tabs>
                <w:tab w:val="left" w:pos="798"/>
              </w:tabs>
              <w:spacing w:line="276" w:lineRule="auto"/>
              <w:ind w:left="-108" w:firstLine="602"/>
              <w:jc w:val="both"/>
              <w:rPr>
                <w:lang w:val="en-US"/>
              </w:rPr>
            </w:pPr>
            <w:r w:rsidRPr="00AC3974">
              <w:rPr>
                <w:lang w:val="en-US"/>
              </w:rPr>
              <w:t>Controlul asupra realizării deciziei în cauză, se pune în sarcina Comisiei consultative pentru Învăţămînt, cultură, sport, tineret, ocrotirea sănătăţii, probleme sociale, turism şi culte (dna Alina Tabarcea).</w:t>
            </w:r>
          </w:p>
          <w:p w:rsidR="00904AFA" w:rsidRPr="00AC3974" w:rsidRDefault="00AC3974" w:rsidP="00AC3974">
            <w:pPr>
              <w:pStyle w:val="a8"/>
              <w:numPr>
                <w:ilvl w:val="0"/>
                <w:numId w:val="4"/>
              </w:numPr>
              <w:tabs>
                <w:tab w:val="left" w:pos="798"/>
              </w:tabs>
              <w:spacing w:line="276" w:lineRule="auto"/>
              <w:ind w:left="-108" w:firstLine="602"/>
              <w:jc w:val="both"/>
              <w:rPr>
                <w:lang w:val="en-US"/>
              </w:rPr>
            </w:pPr>
            <w:r w:rsidRPr="00AC3974">
              <w:rPr>
                <w:lang w:val="en-US"/>
              </w:rPr>
              <w:t>Prezenta decizie poate fi contestată la Judecătoria Bălți (sediul Central, str. Hotinului, 43) în termen de 30 zile de la data publicării, potrivit prevederilor Codului administrativ al Republicii Moldova nr.116/2018.</w:t>
            </w:r>
          </w:p>
          <w:p w:rsidR="00904AFA" w:rsidRDefault="00904AFA" w:rsidP="00904AFA">
            <w:pPr>
              <w:pStyle w:val="a8"/>
              <w:spacing w:line="276" w:lineRule="auto"/>
              <w:ind w:left="0"/>
              <w:jc w:val="both"/>
              <w:rPr>
                <w:lang w:val="en-US"/>
              </w:rPr>
            </w:pPr>
          </w:p>
          <w:p w:rsidR="00FD4E02" w:rsidRDefault="00FD4E02" w:rsidP="00132B85">
            <w:pPr>
              <w:pStyle w:val="a8"/>
              <w:ind w:left="0"/>
              <w:jc w:val="center"/>
              <w:rPr>
                <w:rFonts w:eastAsiaTheme="minorEastAsia"/>
                <w:b/>
                <w:lang w:val="en-US" w:eastAsia="en-US"/>
              </w:rPr>
            </w:pPr>
          </w:p>
          <w:p w:rsidR="00FD4E02" w:rsidRDefault="001B250E" w:rsidP="00132B85">
            <w:pPr>
              <w:jc w:val="center"/>
              <w:rPr>
                <w:rFonts w:eastAsiaTheme="minorEastAsia"/>
                <w:b/>
                <w:lang w:val="en-US" w:eastAsia="en-US"/>
              </w:rPr>
            </w:pPr>
            <w:r>
              <w:rPr>
                <w:rFonts w:eastAsiaTheme="minorEastAsia"/>
                <w:b/>
                <w:lang w:val="en-US" w:eastAsia="en-US"/>
              </w:rPr>
              <w:t>PREȘEDINTE</w:t>
            </w:r>
          </w:p>
          <w:p w:rsidR="00FD4E02" w:rsidRDefault="001B250E" w:rsidP="00132B85">
            <w:pPr>
              <w:jc w:val="center"/>
              <w:rPr>
                <w:rFonts w:eastAsiaTheme="minorEastAsia"/>
                <w:b/>
                <w:lang w:val="en-US" w:eastAsia="en-US"/>
              </w:rPr>
            </w:pPr>
            <w:r>
              <w:rPr>
                <w:rFonts w:eastAsiaTheme="minorEastAsia"/>
                <w:b/>
                <w:lang w:val="en-US" w:eastAsia="en-US"/>
              </w:rPr>
              <w:t>Cristian CAINARIAN</w:t>
            </w:r>
          </w:p>
          <w:p w:rsidR="00FD4E02" w:rsidRDefault="001B250E" w:rsidP="00132B85">
            <w:pPr>
              <w:jc w:val="center"/>
              <w:rPr>
                <w:rFonts w:eastAsiaTheme="minorEastAsia"/>
                <w:b/>
                <w:lang w:val="en-US" w:eastAsia="en-US"/>
              </w:rPr>
            </w:pPr>
            <w:r>
              <w:rPr>
                <w:rFonts w:eastAsiaTheme="minorEastAsia"/>
                <w:b/>
                <w:lang w:val="en-US" w:eastAsia="en-US"/>
              </w:rPr>
              <w:t>________________________</w:t>
            </w:r>
          </w:p>
          <w:p w:rsidR="00FD4E02" w:rsidRDefault="00FD4E02" w:rsidP="00132B85">
            <w:pPr>
              <w:jc w:val="center"/>
              <w:rPr>
                <w:lang w:val="en-US"/>
              </w:rPr>
            </w:pPr>
          </w:p>
          <w:tbl>
            <w:tblPr>
              <w:tblStyle w:val="a7"/>
              <w:tblW w:w="9923" w:type="dxa"/>
              <w:tblLayout w:type="fixed"/>
              <w:tblLook w:val="04A0" w:firstRow="1" w:lastRow="0" w:firstColumn="1" w:lastColumn="0" w:noHBand="0" w:noVBand="1"/>
            </w:tblPr>
            <w:tblGrid>
              <w:gridCol w:w="4962"/>
              <w:gridCol w:w="4961"/>
            </w:tblGrid>
            <w:tr w:rsidR="00FD4E02" w:rsidRPr="00FB2A2C">
              <w:trPr>
                <w:trHeight w:val="1410"/>
              </w:trPr>
              <w:tc>
                <w:tcPr>
                  <w:tcW w:w="4962" w:type="dxa"/>
                </w:tcPr>
                <w:p w:rsidR="00FD4E02" w:rsidRDefault="001B250E" w:rsidP="00132B85">
                  <w:pPr>
                    <w:jc w:val="center"/>
                    <w:rPr>
                      <w:b/>
                      <w:sz w:val="20"/>
                      <w:szCs w:val="20"/>
                      <w:lang w:val="fr-CA"/>
                    </w:rPr>
                  </w:pPr>
                  <w:r>
                    <w:rPr>
                      <w:b/>
                      <w:sz w:val="20"/>
                      <w:szCs w:val="20"/>
                      <w:lang w:val="fr-CA"/>
                    </w:rPr>
                    <w:t>CONTRASEMNEAZĂ</w:t>
                  </w:r>
                </w:p>
                <w:p w:rsidR="00FD4E02" w:rsidRDefault="001B250E" w:rsidP="00132B85">
                  <w:pPr>
                    <w:jc w:val="center"/>
                    <w:rPr>
                      <w:b/>
                      <w:sz w:val="20"/>
                      <w:szCs w:val="20"/>
                      <w:lang w:val="fr-CA"/>
                    </w:rPr>
                  </w:pPr>
                  <w:r>
                    <w:rPr>
                      <w:b/>
                      <w:sz w:val="20"/>
                      <w:szCs w:val="20"/>
                      <w:lang w:val="fr-CA"/>
                    </w:rPr>
                    <w:t>Secretara interimară a Consiliului raional</w:t>
                  </w:r>
                </w:p>
                <w:p w:rsidR="00FD4E02" w:rsidRDefault="001B250E" w:rsidP="00132B85">
                  <w:pPr>
                    <w:jc w:val="center"/>
                    <w:rPr>
                      <w:sz w:val="20"/>
                      <w:szCs w:val="20"/>
                      <w:lang w:val="fr-CA"/>
                    </w:rPr>
                  </w:pPr>
                  <w:r>
                    <w:rPr>
                      <w:sz w:val="20"/>
                      <w:szCs w:val="20"/>
                      <w:lang w:val="fr-CA"/>
                    </w:rPr>
                    <w:t>Angela Mihaliuc</w:t>
                  </w:r>
                </w:p>
                <w:p w:rsidR="00FD4E02" w:rsidRDefault="001B250E" w:rsidP="00132B85">
                  <w:pPr>
                    <w:jc w:val="center"/>
                    <w:rPr>
                      <w:sz w:val="20"/>
                      <w:szCs w:val="20"/>
                      <w:lang w:val="en-US"/>
                    </w:rPr>
                  </w:pPr>
                  <w:r>
                    <w:rPr>
                      <w:sz w:val="20"/>
                      <w:szCs w:val="20"/>
                      <w:lang w:val="en-US"/>
                    </w:rPr>
                    <w:t>______________________</w:t>
                  </w:r>
                </w:p>
                <w:p w:rsidR="00FD4E02" w:rsidRDefault="00FD4E02" w:rsidP="00132B85">
                  <w:pPr>
                    <w:jc w:val="center"/>
                    <w:rPr>
                      <w:sz w:val="20"/>
                      <w:szCs w:val="20"/>
                    </w:rPr>
                  </w:pPr>
                </w:p>
              </w:tc>
              <w:tc>
                <w:tcPr>
                  <w:tcW w:w="4961" w:type="dxa"/>
                </w:tcPr>
                <w:p w:rsidR="00FD4E02" w:rsidRDefault="001B250E" w:rsidP="00132B85">
                  <w:pPr>
                    <w:jc w:val="center"/>
                    <w:rPr>
                      <w:b/>
                      <w:sz w:val="20"/>
                      <w:szCs w:val="20"/>
                      <w:lang w:val="fr-CA"/>
                    </w:rPr>
                  </w:pPr>
                  <w:r>
                    <w:rPr>
                      <w:b/>
                      <w:sz w:val="20"/>
                      <w:szCs w:val="20"/>
                      <w:lang w:val="fr-CA"/>
                    </w:rPr>
                    <w:t xml:space="preserve">SUSŢIN </w:t>
                  </w:r>
                </w:p>
                <w:p w:rsidR="00FD4E02" w:rsidRDefault="001B250E" w:rsidP="00132B85">
                  <w:pPr>
                    <w:jc w:val="center"/>
                    <w:rPr>
                      <w:sz w:val="20"/>
                      <w:szCs w:val="20"/>
                      <w:lang w:val="fr-CA"/>
                    </w:rPr>
                  </w:pPr>
                  <w:r>
                    <w:rPr>
                      <w:b/>
                      <w:sz w:val="20"/>
                      <w:szCs w:val="20"/>
                      <w:lang w:val="fr-CA"/>
                    </w:rPr>
                    <w:t>Vicepreședinta raionului</w:t>
                  </w:r>
                </w:p>
                <w:p w:rsidR="00FD4E02" w:rsidRDefault="001B250E" w:rsidP="00132B85">
                  <w:pPr>
                    <w:jc w:val="center"/>
                    <w:rPr>
                      <w:sz w:val="20"/>
                      <w:szCs w:val="20"/>
                      <w:lang w:val="fr-CA"/>
                    </w:rPr>
                  </w:pPr>
                  <w:r>
                    <w:rPr>
                      <w:sz w:val="20"/>
                      <w:szCs w:val="20"/>
                      <w:lang w:val="fr-CA"/>
                    </w:rPr>
                    <w:t>Vera SERBUȘCA</w:t>
                  </w:r>
                </w:p>
                <w:p w:rsidR="00FD4E02" w:rsidRDefault="001B250E" w:rsidP="00132B85">
                  <w:pPr>
                    <w:jc w:val="center"/>
                    <w:rPr>
                      <w:sz w:val="20"/>
                      <w:szCs w:val="20"/>
                      <w:lang w:val="fr-CA"/>
                    </w:rPr>
                  </w:pPr>
                  <w:r>
                    <w:rPr>
                      <w:sz w:val="20"/>
                      <w:szCs w:val="20"/>
                      <w:lang w:val="fr-CA"/>
                    </w:rPr>
                    <w:t>___________________</w:t>
                  </w:r>
                </w:p>
                <w:p w:rsidR="00FD4E02" w:rsidRDefault="00FD4E02" w:rsidP="00132B85">
                  <w:pPr>
                    <w:jc w:val="center"/>
                    <w:rPr>
                      <w:b/>
                      <w:bCs/>
                      <w:sz w:val="20"/>
                      <w:szCs w:val="20"/>
                      <w:lang w:val="en-US"/>
                    </w:rPr>
                  </w:pPr>
                </w:p>
              </w:tc>
            </w:tr>
            <w:tr w:rsidR="00FD4E02">
              <w:trPr>
                <w:trHeight w:val="1118"/>
              </w:trPr>
              <w:tc>
                <w:tcPr>
                  <w:tcW w:w="4962" w:type="dxa"/>
                </w:tcPr>
                <w:p w:rsidR="00FD4E02" w:rsidRDefault="001B250E" w:rsidP="00132B85">
                  <w:pPr>
                    <w:jc w:val="center"/>
                    <w:rPr>
                      <w:b/>
                      <w:sz w:val="20"/>
                      <w:szCs w:val="20"/>
                      <w:lang w:val="pt-BR"/>
                    </w:rPr>
                  </w:pPr>
                  <w:r>
                    <w:rPr>
                      <w:b/>
                      <w:sz w:val="20"/>
                      <w:szCs w:val="20"/>
                      <w:lang w:val="pt-BR"/>
                    </w:rPr>
                    <w:t>ÎNTOCMIT</w:t>
                  </w:r>
                </w:p>
                <w:p w:rsidR="00FD4E02" w:rsidRDefault="001B250E" w:rsidP="00132B85">
                  <w:pPr>
                    <w:jc w:val="center"/>
                    <w:rPr>
                      <w:b/>
                      <w:sz w:val="20"/>
                      <w:szCs w:val="20"/>
                      <w:lang w:val="en-US"/>
                    </w:rPr>
                  </w:pPr>
                  <w:r>
                    <w:rPr>
                      <w:b/>
                      <w:sz w:val="20"/>
                      <w:szCs w:val="20"/>
                      <w:lang w:val="en-US"/>
                    </w:rPr>
                    <w:t>Șef Șecție Cultură</w:t>
                  </w:r>
                </w:p>
                <w:p w:rsidR="00FD4E02" w:rsidRDefault="001B250E" w:rsidP="00132B85">
                  <w:pPr>
                    <w:jc w:val="center"/>
                    <w:rPr>
                      <w:b/>
                      <w:bCs/>
                      <w:sz w:val="20"/>
                      <w:szCs w:val="20"/>
                      <w:lang w:val="en-US"/>
                    </w:rPr>
                  </w:pPr>
                  <w:r>
                    <w:rPr>
                      <w:b/>
                      <w:bCs/>
                      <w:sz w:val="20"/>
                      <w:szCs w:val="20"/>
                      <w:lang w:val="en-US"/>
                    </w:rPr>
                    <w:t xml:space="preserve">     </w:t>
                  </w:r>
                  <w:r>
                    <w:rPr>
                      <w:sz w:val="20"/>
                      <w:szCs w:val="20"/>
                      <w:lang w:val="en-US"/>
                    </w:rPr>
                    <w:t>Cobîlaș Dionisie</w:t>
                  </w:r>
                </w:p>
                <w:p w:rsidR="00FD4E02" w:rsidRDefault="001B250E" w:rsidP="00132B85">
                  <w:pPr>
                    <w:jc w:val="center"/>
                    <w:rPr>
                      <w:b/>
                      <w:bCs/>
                      <w:sz w:val="20"/>
                      <w:szCs w:val="20"/>
                    </w:rPr>
                  </w:pPr>
                  <w:r>
                    <w:rPr>
                      <w:sz w:val="20"/>
                      <w:szCs w:val="20"/>
                    </w:rPr>
                    <w:t>_________________________</w:t>
                  </w:r>
                </w:p>
              </w:tc>
              <w:tc>
                <w:tcPr>
                  <w:tcW w:w="4961" w:type="dxa"/>
                </w:tcPr>
                <w:p w:rsidR="00FD4E02" w:rsidRDefault="001B250E" w:rsidP="00132B85">
                  <w:pPr>
                    <w:jc w:val="center"/>
                    <w:rPr>
                      <w:b/>
                      <w:sz w:val="20"/>
                      <w:szCs w:val="20"/>
                      <w:lang w:val="en-US"/>
                    </w:rPr>
                  </w:pPr>
                  <w:r>
                    <w:rPr>
                      <w:b/>
                      <w:sz w:val="20"/>
                      <w:szCs w:val="20"/>
                      <w:lang w:val="en-US"/>
                    </w:rPr>
                    <w:t>COORDONAT</w:t>
                  </w:r>
                </w:p>
                <w:p w:rsidR="00FD4E02" w:rsidRDefault="001B250E" w:rsidP="00132B85">
                  <w:pPr>
                    <w:jc w:val="center"/>
                    <w:rPr>
                      <w:b/>
                      <w:sz w:val="20"/>
                      <w:szCs w:val="20"/>
                      <w:lang w:val="en-US"/>
                    </w:rPr>
                  </w:pPr>
                  <w:r>
                    <w:rPr>
                      <w:b/>
                      <w:sz w:val="20"/>
                      <w:szCs w:val="20"/>
                      <w:lang w:val="en-US"/>
                    </w:rPr>
                    <w:t>Șefă, Secția Juridică și Resurse Umane</w:t>
                  </w:r>
                </w:p>
                <w:p w:rsidR="00FD4E02" w:rsidRDefault="001B250E" w:rsidP="00132B85">
                  <w:pPr>
                    <w:jc w:val="center"/>
                    <w:rPr>
                      <w:sz w:val="20"/>
                      <w:szCs w:val="20"/>
                    </w:rPr>
                  </w:pPr>
                  <w:r>
                    <w:rPr>
                      <w:sz w:val="20"/>
                      <w:szCs w:val="20"/>
                    </w:rPr>
                    <w:t>Oxana TABARCEA</w:t>
                  </w:r>
                </w:p>
                <w:p w:rsidR="00FD4E02" w:rsidRDefault="001B250E" w:rsidP="00132B85">
                  <w:pPr>
                    <w:jc w:val="center"/>
                    <w:rPr>
                      <w:b/>
                      <w:bCs/>
                      <w:sz w:val="20"/>
                      <w:szCs w:val="20"/>
                    </w:rPr>
                  </w:pPr>
                  <w:r>
                    <w:rPr>
                      <w:sz w:val="20"/>
                      <w:szCs w:val="20"/>
                      <w:lang w:val="fr-CA"/>
                    </w:rPr>
                    <w:t>_________________________</w:t>
                  </w:r>
                </w:p>
              </w:tc>
            </w:tr>
          </w:tbl>
          <w:p w:rsidR="00FD4E02" w:rsidRDefault="00FD4E02" w:rsidP="00132B85">
            <w:pPr>
              <w:rPr>
                <w:b/>
                <w:bCs/>
                <w:lang w:val="ro-RO"/>
              </w:rPr>
            </w:pPr>
          </w:p>
        </w:tc>
        <w:tc>
          <w:tcPr>
            <w:tcW w:w="347" w:type="pct"/>
            <w:tcBorders>
              <w:top w:val="nil"/>
              <w:left w:val="nil"/>
              <w:bottom w:val="nil"/>
              <w:right w:val="nil"/>
            </w:tcBorders>
          </w:tcPr>
          <w:p w:rsidR="00FD4E02" w:rsidRDefault="00FD4E02">
            <w:pPr>
              <w:jc w:val="center"/>
              <w:rPr>
                <w:lang w:val="ro-RO"/>
              </w:rPr>
            </w:pPr>
          </w:p>
          <w:p w:rsidR="00FD4E02" w:rsidRDefault="00FD4E02">
            <w:pPr>
              <w:jc w:val="center"/>
              <w:rPr>
                <w:lang w:val="ro-RO"/>
              </w:rPr>
            </w:pPr>
          </w:p>
          <w:p w:rsidR="00FD4E02" w:rsidRDefault="00FD4E02">
            <w:pPr>
              <w:jc w:val="center"/>
              <w:rPr>
                <w:lang w:val="ro-RO"/>
              </w:rPr>
            </w:pPr>
          </w:p>
        </w:tc>
      </w:tr>
    </w:tbl>
    <w:p w:rsidR="00FD4E02" w:rsidRDefault="00FD4E02">
      <w:pPr>
        <w:tabs>
          <w:tab w:val="left" w:pos="2665"/>
        </w:tabs>
        <w:rPr>
          <w:sz w:val="16"/>
          <w:szCs w:val="16"/>
          <w:lang w:val="en-US"/>
        </w:rPr>
      </w:pPr>
    </w:p>
    <w:p w:rsidR="00FD4E02" w:rsidRDefault="00FD4E02"/>
    <w:sectPr w:rsidR="00FD4E02">
      <w:pgSz w:w="11906" w:h="16838"/>
      <w:pgMar w:top="510" w:right="851" w:bottom="51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705" w:rsidRDefault="00821705">
      <w:r>
        <w:separator/>
      </w:r>
    </w:p>
  </w:endnote>
  <w:endnote w:type="continuationSeparator" w:id="0">
    <w:p w:rsidR="00821705" w:rsidRDefault="00821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default"/>
  </w:font>
  <w:font w:name="等线 Light">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705" w:rsidRDefault="00821705">
      <w:r>
        <w:separator/>
      </w:r>
    </w:p>
  </w:footnote>
  <w:footnote w:type="continuationSeparator" w:id="0">
    <w:p w:rsidR="00821705" w:rsidRDefault="008217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6C53"/>
    <w:multiLevelType w:val="multilevel"/>
    <w:tmpl w:val="EED650A2"/>
    <w:lvl w:ilvl="0">
      <w:start w:val="1"/>
      <w:numFmt w:val="decimal"/>
      <w:lvlText w:val="%1."/>
      <w:lvlJc w:val="left"/>
      <w:pPr>
        <w:ind w:left="720" w:hanging="360"/>
      </w:pPr>
      <w:rPr>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5D12A5"/>
    <w:multiLevelType w:val="hybridMultilevel"/>
    <w:tmpl w:val="1248AA7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481B71C5"/>
    <w:multiLevelType w:val="multilevel"/>
    <w:tmpl w:val="481B71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53437693"/>
    <w:multiLevelType w:val="multilevel"/>
    <w:tmpl w:val="53437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683B5ACF"/>
    <w:multiLevelType w:val="multilevel"/>
    <w:tmpl w:val="683B5ACF"/>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4F"/>
    <w:rsid w:val="00132B85"/>
    <w:rsid w:val="00184FB7"/>
    <w:rsid w:val="001B250E"/>
    <w:rsid w:val="0023359C"/>
    <w:rsid w:val="00284463"/>
    <w:rsid w:val="00363092"/>
    <w:rsid w:val="00507AEB"/>
    <w:rsid w:val="005A13C5"/>
    <w:rsid w:val="0069284F"/>
    <w:rsid w:val="00777191"/>
    <w:rsid w:val="00821705"/>
    <w:rsid w:val="00883C9D"/>
    <w:rsid w:val="00885E17"/>
    <w:rsid w:val="00904AFA"/>
    <w:rsid w:val="00951DAE"/>
    <w:rsid w:val="00981671"/>
    <w:rsid w:val="00AC3974"/>
    <w:rsid w:val="00AF0DAF"/>
    <w:rsid w:val="00B6406E"/>
    <w:rsid w:val="00C019A1"/>
    <w:rsid w:val="00C91323"/>
    <w:rsid w:val="00DD4583"/>
    <w:rsid w:val="00E07705"/>
    <w:rsid w:val="00F87644"/>
    <w:rsid w:val="00FA02A7"/>
    <w:rsid w:val="00FB2A2C"/>
    <w:rsid w:val="00FD4E02"/>
    <w:rsid w:val="78F47F6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B35DB8C-46EE-42BF-B929-A66B5481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Pr>
      <w:rFonts w:eastAsiaTheme="majorEastAsia" w:cstheme="majorBidi"/>
      <w:color w:val="595959" w:themeColor="text1" w:themeTint="A6"/>
      <w:spacing w:val="15"/>
      <w:sz w:val="28"/>
      <w:szCs w:val="28"/>
    </w:rPr>
  </w:style>
  <w:style w:type="table" w:styleId="a7">
    <w:name w:val="Table Grid"/>
    <w:basedOn w:val="a1"/>
    <w:uiPriority w:val="39"/>
    <w:qFormat/>
    <w:rPr>
      <w:rFonts w:ascii="Times New Roman" w:eastAsia="Times New Roman" w:hAnsi="Times New Roman" w:cs="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4">
    <w:name w:val="Название Знак"/>
    <w:basedOn w:val="a0"/>
    <w:link w:val="a3"/>
    <w:uiPriority w:val="10"/>
    <w:qFormat/>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8">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9">
    <w:name w:val="Intense Quote"/>
    <w:basedOn w:val="a"/>
    <w:next w:val="a"/>
    <w:link w:val="a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b">
    <w:name w:val="No Spacing"/>
    <w:uiPriority w:val="1"/>
    <w:qFormat/>
    <w:rPr>
      <w:rFonts w:eastAsiaTheme="minorEastAsi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4</Pages>
  <Words>2267</Words>
  <Characters>12924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7</cp:revision>
  <dcterms:created xsi:type="dcterms:W3CDTF">2026-09-23T08:35:00Z</dcterms:created>
  <dcterms:modified xsi:type="dcterms:W3CDTF">2026-09-24T07:14:00Z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59BE61AC28DB41BE90BF7E80A9516C46_13</vt:lpwstr>
  </property>
</Properties>
</file>