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vertAnchor="page" w:horzAnchor="margin" w:tblpY="481"/>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6660"/>
        <w:gridCol w:w="1620"/>
      </w:tblGrid>
      <w:tr w14:paraId="0D64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1368" w:type="dxa"/>
            <w:tcBorders>
              <w:top w:val="nil"/>
              <w:left w:val="nil"/>
              <w:bottom w:val="single" w:color="auto" w:sz="4" w:space="0"/>
              <w:right w:val="nil"/>
            </w:tcBorders>
          </w:tcPr>
          <w:p w14:paraId="67EE179E">
            <w:pPr>
              <w:rPr>
                <w:b/>
                <w:sz w:val="28"/>
                <w:lang w:val="en-US"/>
              </w:rPr>
            </w:pPr>
            <w:bookmarkStart w:id="0" w:name="_GoBack"/>
            <w:bookmarkEnd w:id="0"/>
          </w:p>
          <w:p w14:paraId="340CFB90">
            <w:pPr>
              <w:rPr>
                <w:lang w:val="en-US"/>
              </w:rPr>
            </w:pPr>
            <w:r>
              <w:drawing>
                <wp:anchor distT="0" distB="0" distL="114300" distR="114300" simplePos="0" relativeHeight="251660288" behindDoc="0" locked="0" layoutInCell="1" allowOverlap="0">
                  <wp:simplePos x="0" y="0"/>
                  <wp:positionH relativeFrom="margin">
                    <wp:posOffset>120015</wp:posOffset>
                  </wp:positionH>
                  <wp:positionV relativeFrom="margin">
                    <wp:posOffset>219075</wp:posOffset>
                  </wp:positionV>
                  <wp:extent cx="569595" cy="685800"/>
                  <wp:effectExtent l="1905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6" cstate="print"/>
                          <a:srcRect/>
                          <a:stretch>
                            <a:fillRect/>
                          </a:stretch>
                        </pic:blipFill>
                        <pic:spPr>
                          <a:xfrm>
                            <a:off x="0" y="0"/>
                            <a:ext cx="569595" cy="685800"/>
                          </a:xfrm>
                          <a:prstGeom prst="rect">
                            <a:avLst/>
                          </a:prstGeom>
                          <a:noFill/>
                          <a:ln w="9525">
                            <a:noFill/>
                            <a:miter lim="800000"/>
                            <a:headEnd/>
                            <a:tailEnd/>
                          </a:ln>
                        </pic:spPr>
                      </pic:pic>
                    </a:graphicData>
                  </a:graphic>
                </wp:anchor>
              </w:drawing>
            </w:r>
          </w:p>
        </w:tc>
        <w:tc>
          <w:tcPr>
            <w:tcW w:w="6660" w:type="dxa"/>
            <w:tcBorders>
              <w:top w:val="nil"/>
              <w:left w:val="nil"/>
              <w:bottom w:val="single" w:color="auto" w:sz="4" w:space="0"/>
              <w:right w:val="nil"/>
            </w:tcBorders>
          </w:tcPr>
          <w:p w14:paraId="711BA41E">
            <w:pPr>
              <w:pStyle w:val="2"/>
              <w:rPr>
                <w:sz w:val="24"/>
                <w:szCs w:val="24"/>
              </w:rPr>
            </w:pPr>
          </w:p>
          <w:p w14:paraId="4C7406D0">
            <w:pPr>
              <w:pStyle w:val="2"/>
              <w:jc w:val="center"/>
              <w:rPr>
                <w:sz w:val="24"/>
                <w:szCs w:val="24"/>
                <w:lang w:val="pt-PT"/>
              </w:rPr>
            </w:pPr>
            <w:r>
              <w:rPr>
                <w:sz w:val="24"/>
                <w:szCs w:val="24"/>
                <w:lang w:val="pt-PT"/>
              </w:rPr>
              <w:t>REPUBLICA  MOLDOVA</w:t>
            </w:r>
          </w:p>
          <w:p w14:paraId="1A363367">
            <w:pPr>
              <w:pStyle w:val="2"/>
              <w:jc w:val="center"/>
              <w:rPr>
                <w:sz w:val="24"/>
                <w:szCs w:val="24"/>
                <w:lang w:val="pt-PT"/>
              </w:rPr>
            </w:pPr>
            <w:r>
              <w:rPr>
                <w:sz w:val="24"/>
                <w:szCs w:val="24"/>
                <w:lang w:val="pt-PT"/>
              </w:rPr>
              <w:t>CONSILIUL  RAIONAL</w:t>
            </w:r>
          </w:p>
          <w:p w14:paraId="2C5EC817">
            <w:pPr>
              <w:jc w:val="center"/>
              <w:rPr>
                <w:b/>
                <w:lang w:val="ro-RO"/>
              </w:rPr>
            </w:pPr>
            <w:r>
              <w:rPr>
                <w:b/>
                <w:lang w:val="pt-PT"/>
              </w:rPr>
              <w:t>S</w:t>
            </w:r>
            <w:r>
              <w:rPr>
                <w:b/>
                <w:lang w:val="ro-RO"/>
              </w:rPr>
              <w:t>ÎNGEREI</w:t>
            </w:r>
          </w:p>
          <w:p w14:paraId="4B2EF3BF">
            <w:pPr>
              <w:jc w:val="center"/>
              <w:rPr>
                <w:lang w:val="pt-PT"/>
              </w:rPr>
            </w:pPr>
            <w:r>
              <w:rPr>
                <w:b/>
                <w:lang w:val="ro-RO"/>
              </w:rPr>
              <w:t xml:space="preserve">PREŞEDINTELE RAIONULUI </w:t>
            </w:r>
          </w:p>
        </w:tc>
        <w:tc>
          <w:tcPr>
            <w:tcW w:w="1620" w:type="dxa"/>
            <w:tcBorders>
              <w:top w:val="nil"/>
              <w:left w:val="nil"/>
              <w:bottom w:val="single" w:color="auto" w:sz="4" w:space="0"/>
              <w:right w:val="nil"/>
            </w:tcBorders>
          </w:tcPr>
          <w:p w14:paraId="6349B49C">
            <w:pPr>
              <w:jc w:val="center"/>
              <w:rPr>
                <w:lang w:val="pt-PT"/>
              </w:rPr>
            </w:pPr>
            <w:r>
              <w:drawing>
                <wp:anchor distT="0" distB="0" distL="114300" distR="114300" simplePos="0" relativeHeight="251659264"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7" cstate="print"/>
                          <a:srcRect/>
                          <a:stretch>
                            <a:fillRect/>
                          </a:stretch>
                        </pic:blipFill>
                        <pic:spPr>
                          <a:xfrm>
                            <a:off x="0" y="0"/>
                            <a:ext cx="687070" cy="866140"/>
                          </a:xfrm>
                          <a:prstGeom prst="rect">
                            <a:avLst/>
                          </a:prstGeom>
                          <a:noFill/>
                          <a:ln w="9525">
                            <a:noFill/>
                            <a:miter lim="800000"/>
                            <a:headEnd/>
                            <a:tailEnd/>
                          </a:ln>
                        </pic:spPr>
                      </pic:pic>
                    </a:graphicData>
                  </a:graphic>
                </wp:anchor>
              </w:drawing>
            </w:r>
          </w:p>
          <w:p w14:paraId="1DA2B6CA">
            <w:pPr>
              <w:jc w:val="center"/>
              <w:rPr>
                <w:b/>
                <w:sz w:val="18"/>
                <w:szCs w:val="18"/>
                <w:lang w:val="en-US"/>
              </w:rPr>
            </w:pPr>
            <w:r>
              <w:rPr>
                <w:b/>
                <w:sz w:val="20"/>
                <w:szCs w:val="20"/>
              </w:rPr>
              <w:drawing>
                <wp:inline distT="0" distB="0" distL="0" distR="0">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srcRect/>
                          <a:stretch>
                            <a:fillRect/>
                          </a:stretch>
                        </pic:blipFill>
                        <pic:spPr>
                          <a:xfrm>
                            <a:off x="0" y="0"/>
                            <a:ext cx="496570" cy="626110"/>
                          </a:xfrm>
                          <a:prstGeom prst="rect">
                            <a:avLst/>
                          </a:prstGeom>
                          <a:noFill/>
                          <a:ln w="9525">
                            <a:noFill/>
                            <a:miter lim="800000"/>
                            <a:headEnd/>
                            <a:tailEnd/>
                          </a:ln>
                        </pic:spPr>
                      </pic:pic>
                    </a:graphicData>
                  </a:graphic>
                </wp:inline>
              </w:drawing>
            </w:r>
          </w:p>
          <w:p w14:paraId="064B2F5D">
            <w:pPr>
              <w:jc w:val="right"/>
              <w:rPr>
                <w:sz w:val="18"/>
                <w:szCs w:val="18"/>
                <w:lang w:val="en-US"/>
              </w:rPr>
            </w:pPr>
          </w:p>
        </w:tc>
      </w:tr>
      <w:tr w14:paraId="7D4F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9648" w:type="dxa"/>
            <w:gridSpan w:val="3"/>
            <w:tcBorders>
              <w:top w:val="single" w:color="auto" w:sz="4" w:space="0"/>
              <w:left w:val="nil"/>
              <w:bottom w:val="thinThickSmallGap" w:color="auto" w:sz="24" w:space="0"/>
              <w:right w:val="nil"/>
            </w:tcBorders>
          </w:tcPr>
          <w:p w14:paraId="6CBF2DDA">
            <w:pPr>
              <w:rPr>
                <w:b/>
                <w:lang w:val="ro-RO"/>
              </w:rPr>
            </w:pPr>
            <w:r>
              <w:rPr>
                <w:b/>
                <w:lang w:val="ro-RO"/>
              </w:rPr>
              <w:t>Secția Juridică și Resurse Umane</w:t>
            </w:r>
          </w:p>
        </w:tc>
      </w:tr>
    </w:tbl>
    <w:p w14:paraId="5AC7960B">
      <w:pPr>
        <w:spacing w:line="276" w:lineRule="auto"/>
        <w:rPr>
          <w:b/>
          <w:sz w:val="22"/>
          <w:szCs w:val="22"/>
          <w:lang w:val="pt-PT"/>
        </w:rPr>
      </w:pPr>
      <w:r>
        <w:rPr>
          <w:b/>
          <w:sz w:val="22"/>
          <w:szCs w:val="22"/>
          <w:lang w:val="pt-PT"/>
        </w:rPr>
        <w:t>Nr. ________________</w:t>
      </w:r>
    </w:p>
    <w:p w14:paraId="21D1C000">
      <w:pPr>
        <w:spacing w:line="276" w:lineRule="auto"/>
        <w:rPr>
          <w:sz w:val="22"/>
          <w:szCs w:val="22"/>
          <w:lang w:val="ro-RO"/>
        </w:rPr>
      </w:pPr>
      <w:r>
        <w:rPr>
          <w:b/>
          <w:sz w:val="22"/>
          <w:szCs w:val="22"/>
          <w:lang w:val="pt-PT"/>
        </w:rPr>
        <w:t>din ________________2026</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p>
    <w:p w14:paraId="06BF8D68">
      <w:pPr>
        <w:rPr>
          <w:sz w:val="22"/>
          <w:szCs w:val="22"/>
          <w:lang w:val="ro-RO"/>
        </w:rPr>
      </w:pPr>
      <w:r>
        <w:rPr>
          <w:sz w:val="22"/>
          <w:szCs w:val="22"/>
          <w:lang w:val="ro-RO"/>
        </w:rPr>
        <w:t xml:space="preserve">SECRETARĂ INTERIMARĂ                                                                         De acord şi dispun elaborarea  a a Consiliului raional                                                                                                            proiectului de decizie </w:t>
      </w:r>
    </w:p>
    <w:p w14:paraId="7DA0743E">
      <w:pPr>
        <w:jc w:val="both"/>
        <w:rPr>
          <w:sz w:val="22"/>
          <w:szCs w:val="22"/>
          <w:lang w:val="ro-RO"/>
        </w:rPr>
      </w:pPr>
      <w:r>
        <w:rPr>
          <w:b/>
          <w:sz w:val="22"/>
          <w:szCs w:val="22"/>
          <w:lang w:val="ro-RO"/>
        </w:rPr>
        <w:t>Angela MIHALIUC                                                                                                                  PREŞEDINTE,</w:t>
      </w:r>
    </w:p>
    <w:p w14:paraId="0F9867D6">
      <w:pPr>
        <w:tabs>
          <w:tab w:val="left" w:pos="7088"/>
          <w:tab w:val="left" w:pos="7230"/>
        </w:tabs>
        <w:jc w:val="right"/>
        <w:rPr>
          <w:b/>
          <w:sz w:val="22"/>
          <w:szCs w:val="22"/>
          <w:lang w:val="ro-RO"/>
        </w:rPr>
      </w:pPr>
      <w:r>
        <w:rPr>
          <w:sz w:val="22"/>
          <w:szCs w:val="22"/>
          <w:lang w:val="ro-RO"/>
        </w:rPr>
        <w:t xml:space="preserve">                                                                                                                                  </w:t>
      </w:r>
      <w:r>
        <w:rPr>
          <w:b/>
          <w:sz w:val="22"/>
          <w:szCs w:val="22"/>
          <w:lang w:val="ro-RO"/>
        </w:rPr>
        <w:t>Cristian CAINARIAN</w:t>
      </w:r>
      <w:r>
        <w:rPr>
          <w:sz w:val="22"/>
          <w:szCs w:val="22"/>
          <w:lang w:val="ro-RO"/>
        </w:rPr>
        <w:t xml:space="preserve">                </w:t>
      </w:r>
      <w:r>
        <w:rPr>
          <w:b/>
          <w:sz w:val="22"/>
          <w:szCs w:val="22"/>
          <w:lang w:val="ro-RO"/>
        </w:rPr>
        <w:t xml:space="preserve">        </w:t>
      </w:r>
    </w:p>
    <w:p w14:paraId="64D43337">
      <w:pPr>
        <w:contextualSpacing/>
        <w:jc w:val="center"/>
        <w:rPr>
          <w:b/>
          <w:sz w:val="22"/>
          <w:szCs w:val="22"/>
          <w:lang w:val="ro-RO"/>
        </w:rPr>
      </w:pPr>
    </w:p>
    <w:p w14:paraId="3BBDA0D8">
      <w:pPr>
        <w:contextualSpacing/>
        <w:jc w:val="center"/>
        <w:rPr>
          <w:b/>
          <w:sz w:val="22"/>
          <w:szCs w:val="22"/>
          <w:lang w:val="ro-RO"/>
        </w:rPr>
      </w:pPr>
      <w:r>
        <w:rPr>
          <w:b/>
          <w:sz w:val="22"/>
          <w:szCs w:val="22"/>
          <w:lang w:val="ro-RO"/>
        </w:rPr>
        <w:t>NOTĂ DE FUNDAMENTARE</w:t>
      </w:r>
    </w:p>
    <w:p w14:paraId="7767D14B">
      <w:pPr>
        <w:ind w:left="720"/>
        <w:jc w:val="center"/>
        <w:rPr>
          <w:b/>
          <w:sz w:val="22"/>
          <w:lang w:val="en-US"/>
        </w:rPr>
      </w:pPr>
      <w:r>
        <w:rPr>
          <w:b/>
          <w:sz w:val="22"/>
          <w:lang w:val="en-US"/>
        </w:rPr>
        <w:t xml:space="preserve">Cu privire la aprobarea planurilor geometrice și constituirea dreptului de superficie </w:t>
      </w:r>
    </w:p>
    <w:p w14:paraId="0823DF8A">
      <w:pPr>
        <w:ind w:left="720"/>
        <w:jc w:val="center"/>
        <w:rPr>
          <w:b/>
          <w:sz w:val="20"/>
          <w:szCs w:val="22"/>
          <w:lang w:val="en-US"/>
        </w:rPr>
      </w:pPr>
      <w:r>
        <w:rPr>
          <w:b/>
          <w:sz w:val="22"/>
          <w:lang w:val="en-US"/>
        </w:rPr>
        <w:t>și a servituții asupra bunului imobil cu nr. cadastral 7401502.203.20</w:t>
      </w:r>
    </w:p>
    <w:tbl>
      <w:tblPr>
        <w:tblStyle w:val="6"/>
        <w:tblW w:w="5240" w:type="pct"/>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8"/>
      </w:tblGrid>
      <w:tr w14:paraId="5740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D17DB2D">
            <w:pPr>
              <w:numPr>
                <w:ilvl w:val="3"/>
                <w:numId w:val="1"/>
              </w:numPr>
              <w:tabs>
                <w:tab w:val="left" w:pos="284"/>
                <w:tab w:val="left" w:pos="1196"/>
                <w:tab w:val="clear" w:pos="2880"/>
              </w:tabs>
              <w:ind w:left="0" w:firstLine="0"/>
              <w:jc w:val="both"/>
              <w:rPr>
                <w:b/>
                <w:sz w:val="22"/>
                <w:szCs w:val="22"/>
                <w:lang w:val="pt-PT"/>
              </w:rPr>
            </w:pPr>
            <w:r>
              <w:rPr>
                <w:b/>
                <w:sz w:val="22"/>
                <w:szCs w:val="22"/>
                <w:lang w:val="pt-PT"/>
              </w:rPr>
              <w:t>Denumirea autorului şi, după caz, a participanţilor la elaborarea proiectului</w:t>
            </w:r>
          </w:p>
        </w:tc>
      </w:tr>
      <w:tr w14:paraId="56F2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41223C3">
            <w:pPr>
              <w:ind w:left="33"/>
              <w:jc w:val="both"/>
              <w:rPr>
                <w:b/>
                <w:sz w:val="22"/>
                <w:szCs w:val="22"/>
                <w:lang w:val="en-US"/>
              </w:rPr>
            </w:pPr>
            <w:r>
              <w:rPr>
                <w:sz w:val="22"/>
                <w:szCs w:val="22"/>
                <w:lang w:val="pt-PT"/>
              </w:rPr>
              <w:t>Proiectul de decizie „</w:t>
            </w:r>
            <w:r>
              <w:rPr>
                <w:sz w:val="22"/>
                <w:szCs w:val="22"/>
                <w:lang w:val="en-US"/>
              </w:rPr>
              <w:t>Cu privire la aprobarea planurilor geometrice și constituirea dreptului de superficie și a servituții asupra bunului imobil cu nr. cadastral 7401502.203.20</w:t>
            </w:r>
            <w:r>
              <w:rPr>
                <w:bCs/>
                <w:sz w:val="22"/>
                <w:szCs w:val="22"/>
                <w:lang w:val="ro-RO"/>
              </w:rPr>
              <w:t>”</w:t>
            </w:r>
            <w:r>
              <w:rPr>
                <w:sz w:val="22"/>
                <w:szCs w:val="22"/>
                <w:lang w:val="pt-PT"/>
              </w:rPr>
              <w:t>,</w:t>
            </w:r>
            <w:r>
              <w:rPr>
                <w:bCs/>
                <w:iCs/>
                <w:sz w:val="22"/>
                <w:szCs w:val="22"/>
                <w:lang w:val="ro-RO"/>
              </w:rPr>
              <w:t xml:space="preserve"> </w:t>
            </w:r>
            <w:r>
              <w:rPr>
                <w:sz w:val="22"/>
                <w:szCs w:val="22"/>
                <w:lang w:val="pt-PT"/>
              </w:rPr>
              <w:t xml:space="preserve">este elaborat de către dna Aliona Crăciun -persoana care exercită temporar </w:t>
            </w:r>
            <w:r>
              <w:rPr>
                <w:sz w:val="22"/>
                <w:szCs w:val="22"/>
                <w:lang w:val="ro-RO"/>
              </w:rPr>
              <w:t>atribuțiile funcției de Șef Serviciul Agricultură și Cadastru</w:t>
            </w:r>
            <w:r>
              <w:rPr>
                <w:sz w:val="22"/>
                <w:szCs w:val="22"/>
                <w:lang w:val="pt-PT"/>
              </w:rPr>
              <w:t xml:space="preserve">. </w:t>
            </w:r>
          </w:p>
        </w:tc>
      </w:tr>
      <w:tr w14:paraId="3BBB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D748FC2">
            <w:pPr>
              <w:tabs>
                <w:tab w:val="left" w:pos="884"/>
                <w:tab w:val="left" w:pos="1196"/>
              </w:tabs>
              <w:jc w:val="both"/>
              <w:rPr>
                <w:b/>
                <w:sz w:val="22"/>
                <w:szCs w:val="22"/>
                <w:lang w:val="pt-PT"/>
              </w:rPr>
            </w:pPr>
            <w:r>
              <w:rPr>
                <w:b/>
                <w:bCs/>
                <w:sz w:val="22"/>
                <w:szCs w:val="22"/>
                <w:lang w:val="ro-RO" w:eastAsia="en-US"/>
              </w:rPr>
              <w:t>2. Condițiile ce au impus elaborarea proiectului actului normativ</w:t>
            </w:r>
          </w:p>
        </w:tc>
      </w:tr>
      <w:tr w14:paraId="6359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tcBorders>
              <w:bottom w:val="single" w:color="auto" w:sz="4" w:space="0"/>
            </w:tcBorders>
          </w:tcPr>
          <w:p w14:paraId="331C64F5">
            <w:pPr>
              <w:tabs>
                <w:tab w:val="left" w:pos="318"/>
                <w:tab w:val="left" w:pos="449"/>
              </w:tabs>
              <w:jc w:val="both"/>
              <w:rPr>
                <w:sz w:val="22"/>
                <w:szCs w:val="22"/>
                <w:lang w:val="pt-PT"/>
              </w:rPr>
            </w:pPr>
            <w:r>
              <w:rPr>
                <w:sz w:val="22"/>
                <w:szCs w:val="22"/>
                <w:lang w:val="ro-RO"/>
              </w:rPr>
              <w:t xml:space="preserve">Proiectul de decizie este întemeiat în baza art. 43 alin. (1) lit. c) al Legii nr. 436/2006 privind administraţia publică locală,  </w:t>
            </w:r>
            <w:r>
              <w:rPr>
                <w:sz w:val="22"/>
                <w:szCs w:val="22"/>
                <w:lang w:val="en-US"/>
              </w:rPr>
              <w:t xml:space="preserve">art.4 alin. (2) lit. a) din Legea nr.435/2006 privind descentralizarea administrative, </w:t>
            </w:r>
            <w:r>
              <w:rPr>
                <w:sz w:val="22"/>
                <w:szCs w:val="22"/>
                <w:lang w:val="ro-RO"/>
              </w:rPr>
              <w:t xml:space="preserve">art. 62-64 din Legea nr. 100/2017 cu privire la actele normative, art. 654-655 din Codul Civil al Republicii Moldova nr. 1107/2002, </w:t>
            </w:r>
            <w:r>
              <w:rPr>
                <w:rStyle w:val="23"/>
                <w:sz w:val="22"/>
                <w:szCs w:val="22"/>
                <w:lang w:val="en-US"/>
              </w:rPr>
              <w:t>Legea cadastrului bunurilor imobile nr. 1543/1998</w:t>
            </w:r>
            <w:r>
              <w:rPr>
                <w:sz w:val="22"/>
                <w:szCs w:val="22"/>
                <w:lang w:val="ro-RO"/>
              </w:rPr>
              <w:t>, Demersul IMSP CNAMUP nr. 01-15/293 din 03.02.2026.</w:t>
            </w:r>
          </w:p>
        </w:tc>
      </w:tr>
      <w:tr w14:paraId="7B2B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B313E32">
            <w:pPr>
              <w:tabs>
                <w:tab w:val="left" w:pos="884"/>
                <w:tab w:val="left" w:pos="1196"/>
              </w:tabs>
              <w:jc w:val="both"/>
              <w:rPr>
                <w:b/>
                <w:sz w:val="22"/>
                <w:szCs w:val="22"/>
                <w:lang w:val="en-US"/>
              </w:rPr>
            </w:pPr>
            <w:r>
              <w:rPr>
                <w:b/>
                <w:bCs/>
                <w:sz w:val="22"/>
                <w:szCs w:val="22"/>
                <w:lang w:val="ro-RO" w:eastAsia="en-US"/>
              </w:rPr>
              <w:t>3. Obiectivele urmărite și soluțiile propuse</w:t>
            </w:r>
          </w:p>
        </w:tc>
      </w:tr>
      <w:tr w14:paraId="03CC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1C7D79F">
            <w:pPr>
              <w:jc w:val="both"/>
              <w:rPr>
                <w:sz w:val="22"/>
                <w:szCs w:val="22"/>
                <w:lang w:val="en-US"/>
              </w:rPr>
            </w:pPr>
            <w:r>
              <w:rPr>
                <w:sz w:val="22"/>
                <w:szCs w:val="22"/>
                <w:lang w:val="en-US"/>
              </w:rPr>
              <w:t>Necesitatea elaborării proiectului de decizie este determinată de demersul IMSP „Centrul Național de Asistență Medicală Urgentă Prespitalicească” nr. 01-15/293 din 03.02.2026 și de necesitatea clarificării și reglementării situației juridice și cadastrale a bunului imobil cu nr. cadastral 7401502.203.20.</w:t>
            </w:r>
          </w:p>
          <w:p w14:paraId="2AA7BBA4">
            <w:pPr>
              <w:jc w:val="both"/>
              <w:rPr>
                <w:sz w:val="22"/>
                <w:szCs w:val="22"/>
                <w:lang w:val="en-US"/>
              </w:rPr>
            </w:pPr>
            <w:r>
              <w:rPr>
                <w:sz w:val="22"/>
                <w:szCs w:val="22"/>
                <w:lang w:val="en-US"/>
              </w:rPr>
              <w:t>Construcția cu nr. cadastral 7401502.203.20, cu suprafața de 102,2 m², este amplasată în raionul Sîngerei, or. Sîngerei, str. Nicolae Testemițanu nr. 51 și a fost edificată de IMSP „Centrul Național de Asistență Medicală Urgentă Prespitalicească” în baza Autorizației de construire nr. 08 din 15.05.2019.</w:t>
            </w:r>
          </w:p>
          <w:p w14:paraId="7FD643FD">
            <w:pPr>
              <w:jc w:val="both"/>
              <w:rPr>
                <w:sz w:val="22"/>
                <w:szCs w:val="22"/>
                <w:lang w:val="en-US"/>
              </w:rPr>
            </w:pPr>
            <w:r>
              <w:rPr>
                <w:sz w:val="22"/>
                <w:szCs w:val="22"/>
                <w:lang w:val="en-US"/>
              </w:rPr>
              <w:t>În vederea asigurării concordanței dintre situația juridică a bunului imobil și datele înscrise în Registrul bunurilor imobile, este necesară aprobarea documentației cadastrale aferente, precum și reglementarea drepturilor asupra porțiunilor de teren necesare exploatării și utilizării construcției.</w:t>
            </w:r>
          </w:p>
          <w:p w14:paraId="59FB30B4">
            <w:pPr>
              <w:jc w:val="both"/>
              <w:rPr>
                <w:sz w:val="22"/>
                <w:szCs w:val="22"/>
                <w:lang w:val="en-US"/>
              </w:rPr>
            </w:pPr>
            <w:r>
              <w:rPr>
                <w:sz w:val="22"/>
                <w:szCs w:val="22"/>
                <w:lang w:val="en-US"/>
              </w:rPr>
              <w:t>În acest context, se impune:</w:t>
            </w:r>
          </w:p>
          <w:p w14:paraId="14884388">
            <w:pPr>
              <w:numPr>
                <w:ilvl w:val="0"/>
                <w:numId w:val="2"/>
              </w:numPr>
              <w:jc w:val="both"/>
              <w:rPr>
                <w:sz w:val="22"/>
                <w:szCs w:val="22"/>
                <w:lang w:val="en-US"/>
              </w:rPr>
            </w:pPr>
            <w:r>
              <w:rPr>
                <w:sz w:val="22"/>
                <w:szCs w:val="22"/>
                <w:lang w:val="en-US"/>
              </w:rPr>
              <w:t>aprobarea planurilor geometrice aferente construcției și porțiunilor de teren;</w:t>
            </w:r>
          </w:p>
          <w:p w14:paraId="4A937F96">
            <w:pPr>
              <w:numPr>
                <w:ilvl w:val="0"/>
                <w:numId w:val="2"/>
              </w:numPr>
              <w:jc w:val="both"/>
              <w:rPr>
                <w:sz w:val="22"/>
                <w:szCs w:val="22"/>
                <w:lang w:val="en-US"/>
              </w:rPr>
            </w:pPr>
            <w:r>
              <w:rPr>
                <w:sz w:val="22"/>
                <w:szCs w:val="22"/>
                <w:lang w:val="en-US"/>
              </w:rPr>
              <w:t>clarificarea situației bunului imobil în raport cu lista bunurilor imobile aprobată prin Decizia Consiliului raional Sîngerei nr. 4/1 din 04 iulie 2025;</w:t>
            </w:r>
          </w:p>
          <w:p w14:paraId="17928CC3">
            <w:pPr>
              <w:numPr>
                <w:ilvl w:val="0"/>
                <w:numId w:val="2"/>
              </w:numPr>
              <w:jc w:val="both"/>
              <w:rPr>
                <w:sz w:val="22"/>
                <w:szCs w:val="22"/>
                <w:lang w:val="en-US"/>
              </w:rPr>
            </w:pPr>
            <w:r>
              <w:rPr>
                <w:sz w:val="22"/>
                <w:szCs w:val="22"/>
                <w:lang w:val="en-US"/>
              </w:rPr>
              <w:t>reglementarea accesului la construcție prin instituirea servituții de trecere;</w:t>
            </w:r>
          </w:p>
          <w:p w14:paraId="6C2EE490">
            <w:pPr>
              <w:numPr>
                <w:ilvl w:val="0"/>
                <w:numId w:val="2"/>
              </w:numPr>
              <w:jc w:val="both"/>
              <w:rPr>
                <w:sz w:val="22"/>
                <w:szCs w:val="22"/>
                <w:lang w:val="en-US"/>
              </w:rPr>
            </w:pPr>
            <w:r>
              <w:rPr>
                <w:sz w:val="22"/>
                <w:szCs w:val="22"/>
                <w:lang w:val="en-US"/>
              </w:rPr>
              <w:t>constituirea dreptului de superficie asupra porțiunii de teren aferente construcției;</w:t>
            </w:r>
          </w:p>
          <w:p w14:paraId="5D46E502">
            <w:pPr>
              <w:numPr>
                <w:ilvl w:val="0"/>
                <w:numId w:val="2"/>
              </w:numPr>
              <w:jc w:val="both"/>
              <w:rPr>
                <w:lang w:val="en-US"/>
              </w:rPr>
            </w:pPr>
            <w:r>
              <w:rPr>
                <w:sz w:val="22"/>
                <w:szCs w:val="22"/>
                <w:lang w:val="en-US"/>
              </w:rPr>
              <w:t>efectuarea, după caz, a modificărilor și/sau a radierii înscrierilor corespunzătoare din Registrul bunurilor imobile.</w:t>
            </w:r>
          </w:p>
        </w:tc>
      </w:tr>
      <w:tr w14:paraId="2E37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478829E">
            <w:pPr>
              <w:tabs>
                <w:tab w:val="left" w:pos="884"/>
                <w:tab w:val="left" w:pos="1196"/>
              </w:tabs>
              <w:jc w:val="both"/>
              <w:rPr>
                <w:b/>
                <w:sz w:val="22"/>
                <w:szCs w:val="22"/>
                <w:lang w:val="en-US"/>
              </w:rPr>
            </w:pPr>
            <w:r>
              <w:rPr>
                <w:b/>
                <w:bCs/>
                <w:sz w:val="22"/>
                <w:szCs w:val="22"/>
                <w:lang w:val="ro-RO" w:eastAsia="en-US"/>
              </w:rPr>
              <w:t>4. Analiza impactului de reglementare</w:t>
            </w:r>
          </w:p>
        </w:tc>
      </w:tr>
      <w:tr w14:paraId="1E72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EC03305">
            <w:pPr>
              <w:tabs>
                <w:tab w:val="left" w:pos="851"/>
              </w:tabs>
              <w:contextualSpacing/>
              <w:jc w:val="both"/>
              <w:rPr>
                <w:sz w:val="22"/>
                <w:szCs w:val="22"/>
                <w:lang w:val="pt-PT"/>
              </w:rPr>
            </w:pPr>
            <w:r>
              <w:rPr>
                <w:color w:val="000000"/>
                <w:sz w:val="22"/>
                <w:szCs w:val="22"/>
                <w:lang w:val="pt-PT"/>
              </w:rPr>
              <w:t>Proiectul de decizie nu înregistrează careva impacturi, costuri și respectiv nu necesită alocarea mijloacelor financiare suplimentare din bugetul raional.</w:t>
            </w:r>
          </w:p>
        </w:tc>
      </w:tr>
      <w:tr w14:paraId="2747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8D7BBAD">
            <w:pPr>
              <w:tabs>
                <w:tab w:val="left" w:pos="884"/>
                <w:tab w:val="left" w:pos="1196"/>
              </w:tabs>
              <w:jc w:val="both"/>
              <w:rPr>
                <w:b/>
                <w:sz w:val="22"/>
                <w:szCs w:val="22"/>
                <w:lang w:val="pt-PT"/>
              </w:rPr>
            </w:pPr>
            <w:r>
              <w:rPr>
                <w:b/>
                <w:bCs/>
                <w:sz w:val="22"/>
                <w:szCs w:val="22"/>
                <w:lang w:val="ro-RO" w:eastAsia="en-US"/>
              </w:rPr>
              <w:t>5. Compatibilitatea proiectului actului normativ cu legislația UE</w:t>
            </w:r>
            <w:r>
              <w:rPr>
                <w:b/>
                <w:color w:val="000000"/>
                <w:sz w:val="22"/>
                <w:szCs w:val="22"/>
                <w:lang w:val="pt-PT"/>
              </w:rPr>
              <w:t xml:space="preserve">- </w:t>
            </w:r>
            <w:r>
              <w:rPr>
                <w:color w:val="000000"/>
                <w:sz w:val="22"/>
                <w:szCs w:val="22"/>
                <w:lang w:val="ro-RO"/>
              </w:rPr>
              <w:t>„Nu este aplicabil”.</w:t>
            </w:r>
          </w:p>
        </w:tc>
      </w:tr>
      <w:tr w14:paraId="42E8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7F9CF175">
            <w:pPr>
              <w:tabs>
                <w:tab w:val="left" w:pos="884"/>
                <w:tab w:val="left" w:pos="1196"/>
              </w:tabs>
              <w:jc w:val="both"/>
              <w:rPr>
                <w:sz w:val="22"/>
                <w:szCs w:val="22"/>
                <w:lang w:val="pt-PT"/>
              </w:rPr>
            </w:pPr>
            <w:r>
              <w:rPr>
                <w:b/>
                <w:bCs/>
                <w:sz w:val="22"/>
                <w:szCs w:val="22"/>
                <w:lang w:val="ro-RO" w:eastAsia="en-US"/>
              </w:rPr>
              <w:t>6. Avizarea și consultarea publică a proiectului actului normativ</w:t>
            </w:r>
            <w:r>
              <w:rPr>
                <w:b/>
                <w:color w:val="000000"/>
                <w:sz w:val="22"/>
                <w:szCs w:val="22"/>
                <w:lang w:val="pt-PT"/>
              </w:rPr>
              <w:t xml:space="preserve">- </w:t>
            </w:r>
            <w:r>
              <w:rPr>
                <w:color w:val="000000"/>
                <w:sz w:val="22"/>
                <w:szCs w:val="22"/>
                <w:lang w:val="ro-RO"/>
              </w:rPr>
              <w:t>„Nu este aplicabil”.</w:t>
            </w:r>
          </w:p>
        </w:tc>
      </w:tr>
      <w:tr w14:paraId="04A3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5DB50591">
            <w:pPr>
              <w:tabs>
                <w:tab w:val="left" w:pos="884"/>
                <w:tab w:val="left" w:pos="1196"/>
              </w:tabs>
              <w:jc w:val="both"/>
              <w:rPr>
                <w:sz w:val="22"/>
                <w:szCs w:val="22"/>
                <w:lang w:val="pt-PT"/>
              </w:rPr>
            </w:pPr>
            <w:r>
              <w:rPr>
                <w:b/>
                <w:bCs/>
                <w:sz w:val="22"/>
                <w:szCs w:val="22"/>
                <w:lang w:val="ro-RO" w:eastAsia="en-US"/>
              </w:rPr>
              <w:t xml:space="preserve">7. Concluziile expertizelor </w:t>
            </w:r>
            <w:r>
              <w:rPr>
                <w:b/>
                <w:color w:val="000000"/>
                <w:sz w:val="22"/>
                <w:szCs w:val="22"/>
                <w:lang w:val="pt-PT"/>
              </w:rPr>
              <w:t xml:space="preserve">- </w:t>
            </w:r>
            <w:r>
              <w:rPr>
                <w:color w:val="000000"/>
                <w:sz w:val="22"/>
                <w:szCs w:val="22"/>
                <w:lang w:val="ro-RO"/>
              </w:rPr>
              <w:t>„Nu este aplicabil”.</w:t>
            </w:r>
          </w:p>
        </w:tc>
      </w:tr>
      <w:tr w14:paraId="43CA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0DEFCE4E">
            <w:pPr>
              <w:tabs>
                <w:tab w:val="left" w:pos="884"/>
                <w:tab w:val="left" w:pos="1196"/>
              </w:tabs>
              <w:jc w:val="both"/>
              <w:rPr>
                <w:b/>
                <w:bCs/>
                <w:sz w:val="22"/>
                <w:szCs w:val="22"/>
                <w:lang w:val="ro-RO" w:eastAsia="en-US"/>
              </w:rPr>
            </w:pPr>
            <w:r>
              <w:rPr>
                <w:b/>
                <w:bCs/>
                <w:sz w:val="22"/>
                <w:szCs w:val="22"/>
                <w:lang w:val="ro-RO" w:eastAsia="en-US"/>
              </w:rPr>
              <w:t>8. Modul de încorporare a actului în cadrul normativ existent</w:t>
            </w:r>
          </w:p>
        </w:tc>
      </w:tr>
      <w:tr w14:paraId="25AA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42C1F396">
            <w:pPr>
              <w:jc w:val="both"/>
              <w:rPr>
                <w:sz w:val="22"/>
                <w:szCs w:val="22"/>
                <w:lang w:val="pt-PT"/>
              </w:rPr>
            </w:pPr>
            <w:r>
              <w:rPr>
                <w:color w:val="000000"/>
                <w:sz w:val="22"/>
                <w:szCs w:val="22"/>
                <w:lang w:val="pt-PT"/>
              </w:rPr>
              <w:t>Proiectul de decizie nu necesită modificarea și/sau completarea unor acte normative.</w:t>
            </w:r>
          </w:p>
        </w:tc>
      </w:tr>
      <w:tr w14:paraId="1A97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1A611CB9">
            <w:pPr>
              <w:tabs>
                <w:tab w:val="left" w:pos="884"/>
                <w:tab w:val="left" w:pos="1196"/>
              </w:tabs>
              <w:jc w:val="both"/>
              <w:rPr>
                <w:b/>
                <w:bCs/>
                <w:sz w:val="22"/>
                <w:szCs w:val="22"/>
                <w:lang w:val="ro-RO" w:eastAsia="en-US"/>
              </w:rPr>
            </w:pPr>
            <w:r>
              <w:rPr>
                <w:b/>
                <w:bCs/>
                <w:sz w:val="22"/>
                <w:szCs w:val="22"/>
                <w:lang w:val="ro-RO" w:eastAsia="en-US"/>
              </w:rPr>
              <w:t>9. Măsurile necesare pentru implementarea prevederilor proiectului actului normativ</w:t>
            </w:r>
            <w:r>
              <w:rPr>
                <w:b/>
                <w:color w:val="000000"/>
                <w:sz w:val="22"/>
                <w:szCs w:val="22"/>
                <w:lang w:val="pt-PT"/>
              </w:rPr>
              <w:t xml:space="preserve">- </w:t>
            </w:r>
            <w:r>
              <w:rPr>
                <w:color w:val="000000"/>
                <w:sz w:val="22"/>
                <w:szCs w:val="22"/>
                <w:lang w:val="ro-RO"/>
              </w:rPr>
              <w:t>„Nu este aplicabil”.</w:t>
            </w:r>
          </w:p>
        </w:tc>
      </w:tr>
    </w:tbl>
    <w:p w14:paraId="6E825875">
      <w:pPr>
        <w:contextualSpacing/>
        <w:jc w:val="right"/>
        <w:rPr>
          <w:b/>
          <w:sz w:val="22"/>
          <w:szCs w:val="22"/>
          <w:lang w:val="pt-PT"/>
        </w:rPr>
      </w:pPr>
    </w:p>
    <w:p w14:paraId="44142B65">
      <w:pPr>
        <w:contextualSpacing/>
        <w:jc w:val="right"/>
        <w:rPr>
          <w:b/>
          <w:sz w:val="22"/>
          <w:szCs w:val="22"/>
          <w:lang w:val="it-IT"/>
        </w:rPr>
      </w:pPr>
      <w:r>
        <w:rPr>
          <w:b/>
          <w:sz w:val="22"/>
          <w:szCs w:val="22"/>
          <w:lang w:val="pt-PT"/>
        </w:rPr>
        <w:t>Întocmit</w:t>
      </w:r>
    </w:p>
    <w:p w14:paraId="6A13F90C">
      <w:pPr>
        <w:spacing w:line="259" w:lineRule="auto"/>
        <w:jc w:val="right"/>
        <w:rPr>
          <w:sz w:val="22"/>
          <w:szCs w:val="22"/>
          <w:lang w:val="ro-RO"/>
        </w:rPr>
      </w:pPr>
      <w:r>
        <w:rPr>
          <w:rFonts w:eastAsia="Calibri"/>
          <w:bCs/>
          <w:iCs/>
          <w:sz w:val="22"/>
          <w:szCs w:val="22"/>
          <w:lang w:val="pt-PT" w:eastAsia="en-US"/>
        </w:rPr>
        <w:t xml:space="preserve">Aliona CRĂCIUN, persoana care </w:t>
      </w:r>
      <w:r>
        <w:rPr>
          <w:sz w:val="22"/>
          <w:szCs w:val="22"/>
          <w:lang w:val="pt-PT"/>
        </w:rPr>
        <w:t xml:space="preserve">exercită temporar </w:t>
      </w:r>
      <w:r>
        <w:rPr>
          <w:sz w:val="22"/>
          <w:szCs w:val="22"/>
          <w:lang w:val="ro-RO"/>
        </w:rPr>
        <w:t xml:space="preserve">atribuțiile </w:t>
      </w:r>
    </w:p>
    <w:p w14:paraId="4FE5FD8A">
      <w:pPr>
        <w:spacing w:line="259" w:lineRule="auto"/>
        <w:jc w:val="right"/>
        <w:rPr>
          <w:sz w:val="22"/>
          <w:szCs w:val="22"/>
          <w:lang w:val="ro-RO"/>
        </w:rPr>
      </w:pPr>
      <w:r>
        <w:rPr>
          <w:sz w:val="22"/>
          <w:szCs w:val="22"/>
          <w:lang w:val="ro-RO"/>
        </w:rPr>
        <w:t>funcției de Șef Serviciul Agricultură și Cadastru</w:t>
      </w:r>
    </w:p>
    <w:p w14:paraId="08515E53">
      <w:pPr>
        <w:jc w:val="right"/>
        <w:rPr>
          <w:sz w:val="22"/>
          <w:szCs w:val="22"/>
          <w:lang w:val="it-IT"/>
        </w:rPr>
        <w:sectPr>
          <w:pgSz w:w="11906" w:h="16838"/>
          <w:pgMar w:top="426" w:right="566" w:bottom="0" w:left="1701" w:header="709" w:footer="709" w:gutter="0"/>
          <w:cols w:space="708" w:num="1"/>
          <w:docGrid w:linePitch="360" w:charSpace="0"/>
        </w:sectPr>
      </w:pPr>
      <w:r>
        <w:rPr>
          <w:sz w:val="22"/>
          <w:szCs w:val="22"/>
          <w:lang w:val="it-IT"/>
        </w:rPr>
        <w:t xml:space="preserve">  _____________________</w:t>
      </w:r>
    </w:p>
    <w:p w14:paraId="349C5BE9">
      <w:pPr>
        <w:jc w:val="right"/>
        <w:rPr>
          <w:lang w:val="en-US"/>
        </w:rPr>
      </w:pPr>
    </w:p>
    <w:tbl>
      <w:tblPr>
        <w:tblStyle w:val="6"/>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6129"/>
        <w:gridCol w:w="1384"/>
      </w:tblGrid>
      <w:tr w14:paraId="4139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1701" w:type="dxa"/>
            <w:tcBorders>
              <w:top w:val="nil"/>
              <w:left w:val="nil"/>
              <w:bottom w:val="single" w:color="auto" w:sz="4" w:space="0"/>
              <w:right w:val="nil"/>
            </w:tcBorders>
          </w:tcPr>
          <w:p w14:paraId="6D7ED79A">
            <w:pPr>
              <w:tabs>
                <w:tab w:val="left" w:pos="597"/>
                <w:tab w:val="left" w:pos="822"/>
              </w:tabs>
              <w:contextualSpacing/>
              <w:jc w:val="center"/>
              <w:rPr>
                <w:b/>
                <w:sz w:val="28"/>
              </w:rPr>
            </w:pPr>
            <w:r>
              <w:drawing>
                <wp:anchor distT="0" distB="0" distL="114300" distR="114300" simplePos="0" relativeHeight="251661312" behindDoc="0" locked="0" layoutInCell="1" allowOverlap="0">
                  <wp:simplePos x="0" y="0"/>
                  <wp:positionH relativeFrom="margin">
                    <wp:posOffset>75565</wp:posOffset>
                  </wp:positionH>
                  <wp:positionV relativeFrom="margin">
                    <wp:posOffset>172085</wp:posOffset>
                  </wp:positionV>
                  <wp:extent cx="676275" cy="819150"/>
                  <wp:effectExtent l="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
                          <pic:cNvPicPr>
                            <a:picLocks noChangeAspect="1" noChangeArrowheads="1"/>
                          </pic:cNvPicPr>
                        </pic:nvPicPr>
                        <pic:blipFill>
                          <a:blip r:embed="rId6" cstate="print"/>
                          <a:srcRect/>
                          <a:stretch>
                            <a:fillRect/>
                          </a:stretch>
                        </pic:blipFill>
                        <pic:spPr>
                          <a:xfrm>
                            <a:off x="0" y="0"/>
                            <a:ext cx="676275" cy="819150"/>
                          </a:xfrm>
                          <a:prstGeom prst="rect">
                            <a:avLst/>
                          </a:prstGeom>
                          <a:noFill/>
                        </pic:spPr>
                      </pic:pic>
                    </a:graphicData>
                  </a:graphic>
                </wp:anchor>
              </w:drawing>
            </w:r>
            <w:r>
              <w:br w:type="page"/>
            </w:r>
          </w:p>
          <w:p w14:paraId="3622269B">
            <w:pPr>
              <w:contextualSpacing/>
            </w:pPr>
          </w:p>
        </w:tc>
        <w:tc>
          <w:tcPr>
            <w:tcW w:w="6129" w:type="dxa"/>
            <w:tcBorders>
              <w:top w:val="nil"/>
              <w:left w:val="nil"/>
              <w:bottom w:val="single" w:color="auto" w:sz="4" w:space="0"/>
              <w:right w:val="nil"/>
            </w:tcBorders>
          </w:tcPr>
          <w:p w14:paraId="572FE54B">
            <w:pPr>
              <w:contextualSpacing/>
              <w:rPr>
                <w:lang w:val="ro-RO"/>
              </w:rPr>
            </w:pPr>
          </w:p>
          <w:p w14:paraId="637C580B">
            <w:pPr>
              <w:pStyle w:val="2"/>
              <w:contextualSpacing/>
              <w:jc w:val="center"/>
              <w:rPr>
                <w:rFonts w:eastAsiaTheme="minorEastAsia"/>
                <w:sz w:val="24"/>
                <w:szCs w:val="24"/>
                <w:lang w:val="it-IT"/>
              </w:rPr>
            </w:pPr>
            <w:r>
              <w:rPr>
                <w:rFonts w:eastAsiaTheme="minorEastAsia"/>
                <w:sz w:val="24"/>
                <w:szCs w:val="24"/>
                <w:lang w:val="it-IT"/>
              </w:rPr>
              <w:t>REPUBLICA  MOLDOVA</w:t>
            </w:r>
          </w:p>
          <w:p w14:paraId="344A8A1E">
            <w:pPr>
              <w:pStyle w:val="2"/>
              <w:contextualSpacing/>
              <w:jc w:val="center"/>
              <w:rPr>
                <w:rFonts w:eastAsiaTheme="minorEastAsia"/>
                <w:sz w:val="24"/>
                <w:szCs w:val="24"/>
                <w:lang w:val="it-IT"/>
              </w:rPr>
            </w:pPr>
          </w:p>
          <w:p w14:paraId="2AA17EDC">
            <w:pPr>
              <w:pStyle w:val="2"/>
              <w:contextualSpacing/>
              <w:jc w:val="center"/>
              <w:rPr>
                <w:rFonts w:eastAsiaTheme="minorEastAsia"/>
                <w:sz w:val="24"/>
                <w:szCs w:val="24"/>
                <w:lang w:val="it-IT"/>
              </w:rPr>
            </w:pPr>
            <w:r>
              <w:rPr>
                <w:rFonts w:eastAsiaTheme="minorEastAsia"/>
                <w:sz w:val="24"/>
                <w:szCs w:val="24"/>
                <w:lang w:val="it-IT"/>
              </w:rPr>
              <w:t>CONSILIUL  RAIONAL</w:t>
            </w:r>
          </w:p>
          <w:p w14:paraId="108C8F39">
            <w:pPr>
              <w:pStyle w:val="2"/>
              <w:contextualSpacing/>
              <w:jc w:val="center"/>
              <w:rPr>
                <w:rFonts w:eastAsiaTheme="minorEastAsia"/>
                <w:sz w:val="24"/>
                <w:szCs w:val="24"/>
                <w:lang w:val="it-IT"/>
              </w:rPr>
            </w:pPr>
            <w:r>
              <w:rPr>
                <w:sz w:val="24"/>
                <w:szCs w:val="24"/>
                <w:lang w:val="it-IT"/>
              </w:rPr>
              <w:t>S</w:t>
            </w:r>
            <w:r>
              <w:rPr>
                <w:sz w:val="24"/>
                <w:szCs w:val="24"/>
                <w:lang w:val="ro-RO"/>
              </w:rPr>
              <w:t>ÎNGEREI</w:t>
            </w:r>
          </w:p>
        </w:tc>
        <w:tc>
          <w:tcPr>
            <w:tcW w:w="1384" w:type="dxa"/>
            <w:tcBorders>
              <w:top w:val="nil"/>
              <w:left w:val="nil"/>
              <w:bottom w:val="single" w:color="auto" w:sz="4" w:space="0"/>
              <w:right w:val="nil"/>
            </w:tcBorders>
          </w:tcPr>
          <w:p w14:paraId="7B5F3440">
            <w:pPr>
              <w:contextualSpacing/>
              <w:jc w:val="center"/>
              <w:rPr>
                <w:lang w:val="it-IT"/>
              </w:rPr>
            </w:pPr>
            <w:r>
              <w:drawing>
                <wp:anchor distT="0" distB="0" distL="114300" distR="114300" simplePos="0" relativeHeight="251662336"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
                          <pic:cNvPicPr>
                            <a:picLocks noChangeAspect="1" noChangeArrowheads="1"/>
                          </pic:cNvPicPr>
                        </pic:nvPicPr>
                        <pic:blipFill>
                          <a:blip r:embed="rId7" cstate="print"/>
                          <a:srcRect/>
                          <a:stretch>
                            <a:fillRect/>
                          </a:stretch>
                        </pic:blipFill>
                        <pic:spPr>
                          <a:xfrm>
                            <a:off x="0" y="0"/>
                            <a:ext cx="687070" cy="866140"/>
                          </a:xfrm>
                          <a:prstGeom prst="rect">
                            <a:avLst/>
                          </a:prstGeom>
                          <a:noFill/>
                        </pic:spPr>
                      </pic:pic>
                    </a:graphicData>
                  </a:graphic>
                </wp:anchor>
              </w:drawing>
            </w:r>
          </w:p>
          <w:p w14:paraId="0E648472">
            <w:pPr>
              <w:contextualSpacing/>
              <w:jc w:val="center"/>
              <w:rPr>
                <w:sz w:val="18"/>
                <w:szCs w:val="18"/>
              </w:rPr>
            </w:pPr>
            <w:r>
              <w:rPr>
                <w:b/>
                <w:sz w:val="20"/>
                <w:szCs w:val="20"/>
              </w:rPr>
              <w:drawing>
                <wp:inline distT="0" distB="0" distL="0" distR="0">
                  <wp:extent cx="670560" cy="85852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pic:cNvPicPr>
                            <a:picLocks noChangeAspect="1" noChangeArrowheads="1"/>
                          </pic:cNvPicPr>
                        </pic:nvPicPr>
                        <pic:blipFill>
                          <a:blip r:embed="rId9" cstate="print"/>
                          <a:srcRect/>
                          <a:stretch>
                            <a:fillRect/>
                          </a:stretch>
                        </pic:blipFill>
                        <pic:spPr>
                          <a:xfrm>
                            <a:off x="0" y="0"/>
                            <a:ext cx="700988" cy="897705"/>
                          </a:xfrm>
                          <a:prstGeom prst="rect">
                            <a:avLst/>
                          </a:prstGeom>
                          <a:noFill/>
                          <a:ln w="9525">
                            <a:noFill/>
                            <a:miter lim="800000"/>
                            <a:headEnd/>
                            <a:tailEnd/>
                          </a:ln>
                        </pic:spPr>
                      </pic:pic>
                    </a:graphicData>
                  </a:graphic>
                </wp:inline>
              </w:drawing>
            </w:r>
          </w:p>
        </w:tc>
      </w:tr>
      <w:tr w14:paraId="493E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 w:hRule="atLeast"/>
        </w:trPr>
        <w:tc>
          <w:tcPr>
            <w:tcW w:w="9214" w:type="dxa"/>
            <w:gridSpan w:val="3"/>
            <w:tcBorders>
              <w:top w:val="single" w:color="auto" w:sz="4" w:space="0"/>
              <w:left w:val="nil"/>
              <w:bottom w:val="thinThickSmallGap" w:color="auto" w:sz="24" w:space="0"/>
              <w:right w:val="nil"/>
            </w:tcBorders>
          </w:tcPr>
          <w:p w14:paraId="626EA1B3">
            <w:pPr>
              <w:contextualSpacing/>
              <w:rPr>
                <w:b/>
                <w:lang w:val="ro-RO"/>
              </w:rPr>
            </w:pPr>
            <w:r>
              <w:rPr>
                <w:b/>
                <w:lang w:val="ro-RO"/>
              </w:rPr>
              <w:t>Secția Juridică și Resurse Umane</w:t>
            </w:r>
          </w:p>
        </w:tc>
      </w:tr>
    </w:tbl>
    <w:p w14:paraId="753A08E1">
      <w:pPr>
        <w:pStyle w:val="2"/>
        <w:jc w:val="center"/>
        <w:rPr>
          <w:bCs/>
          <w:sz w:val="22"/>
          <w:szCs w:val="22"/>
          <w:lang w:val="fr-FR"/>
        </w:rPr>
      </w:pPr>
      <w:r>
        <w:rPr>
          <w:bCs/>
          <w:sz w:val="22"/>
          <w:szCs w:val="22"/>
          <w:lang w:val="fr-FR"/>
        </w:rPr>
        <w:t>PROIECT DE DECIZIE Nr. _____</w:t>
      </w:r>
    </w:p>
    <w:p w14:paraId="4E73A389">
      <w:pPr>
        <w:jc w:val="center"/>
        <w:rPr>
          <w:b/>
          <w:bCs/>
          <w:sz w:val="22"/>
          <w:szCs w:val="22"/>
          <w:lang w:val="ro-RO"/>
        </w:rPr>
      </w:pPr>
      <w:r>
        <w:rPr>
          <w:b/>
          <w:bCs/>
          <w:sz w:val="22"/>
          <w:szCs w:val="22"/>
          <w:lang w:val="ro-RO"/>
        </w:rPr>
        <w:t>din “______”____________ 2026</w:t>
      </w:r>
    </w:p>
    <w:p w14:paraId="4555AC17">
      <w:pPr>
        <w:spacing w:line="360" w:lineRule="auto"/>
        <w:jc w:val="center"/>
        <w:rPr>
          <w:b/>
          <w:bCs/>
          <w:sz w:val="22"/>
          <w:szCs w:val="22"/>
          <w:lang w:val="ro-RO"/>
        </w:rPr>
      </w:pPr>
      <w:r>
        <w:rPr>
          <w:b/>
          <w:bCs/>
          <w:sz w:val="22"/>
          <w:szCs w:val="22"/>
          <w:lang w:val="ro-RO"/>
        </w:rPr>
        <w:t>or. Sîngerei</w:t>
      </w:r>
    </w:p>
    <w:p w14:paraId="02B7C8B9">
      <w:pPr>
        <w:rPr>
          <w:b/>
          <w:bCs/>
          <w:iCs/>
          <w:sz w:val="22"/>
          <w:szCs w:val="22"/>
          <w:lang w:val="pt-PT" w:eastAsia="en-US"/>
        </w:rPr>
      </w:pPr>
    </w:p>
    <w:p w14:paraId="24E54E18">
      <w:pPr>
        <w:rPr>
          <w:b/>
          <w:lang w:val="en-US"/>
        </w:rPr>
      </w:pPr>
      <w:r>
        <w:rPr>
          <w:b/>
          <w:lang w:val="en-US"/>
        </w:rPr>
        <w:t xml:space="preserve">Cu privire la aprobarea planurilor geometrice </w:t>
      </w:r>
    </w:p>
    <w:p w14:paraId="4CECC6B6">
      <w:pPr>
        <w:rPr>
          <w:b/>
          <w:lang w:val="en-US"/>
        </w:rPr>
      </w:pPr>
      <w:r>
        <w:rPr>
          <w:b/>
          <w:lang w:val="en-US"/>
        </w:rPr>
        <w:t xml:space="preserve">și constituirea dreptului de superficie și a servituții </w:t>
      </w:r>
    </w:p>
    <w:p w14:paraId="68777CFF">
      <w:pPr>
        <w:rPr>
          <w:b/>
          <w:lang w:val="en-US"/>
        </w:rPr>
      </w:pPr>
      <w:r>
        <w:rPr>
          <w:b/>
          <w:lang w:val="en-US"/>
        </w:rPr>
        <w:t>asupra bunului imobil cu nr. cadastral 7401502.203.20</w:t>
      </w:r>
    </w:p>
    <w:p w14:paraId="067EBABE">
      <w:pPr>
        <w:rPr>
          <w:b/>
          <w:lang w:val="en-US"/>
        </w:rPr>
      </w:pPr>
    </w:p>
    <w:p w14:paraId="55BDEB13">
      <w:pPr>
        <w:tabs>
          <w:tab w:val="left" w:pos="709"/>
        </w:tabs>
        <w:spacing w:line="276" w:lineRule="auto"/>
        <w:jc w:val="both"/>
        <w:rPr>
          <w:bCs/>
          <w:iCs/>
          <w:lang w:val="en-US"/>
        </w:rPr>
      </w:pPr>
      <w:r>
        <w:rPr>
          <w:lang w:val="pt-PT"/>
        </w:rPr>
        <w:tab/>
      </w:r>
      <w:r>
        <w:rPr>
          <w:lang w:val="pt-PT"/>
        </w:rPr>
        <w:t>Având în vedere: Nota de fundamentare „</w:t>
      </w:r>
      <w:r>
        <w:rPr>
          <w:lang w:val="en-US"/>
        </w:rPr>
        <w:t>Cu privire la aprobarea planurilor geometrice și constituirea dreptului de superficie și a servituții asupra bunului imobil cu nr. cadastral 7401502.203.20</w:t>
      </w:r>
      <w:r>
        <w:rPr>
          <w:bCs/>
          <w:iCs/>
          <w:lang w:val="ro-RO"/>
        </w:rPr>
        <w:t>”</w:t>
      </w:r>
      <w:r>
        <w:rPr>
          <w:lang w:val="pt-PT"/>
        </w:rPr>
        <w:t>;</w:t>
      </w:r>
    </w:p>
    <w:p w14:paraId="71F01CC1">
      <w:pPr>
        <w:pStyle w:val="17"/>
        <w:spacing w:line="276" w:lineRule="auto"/>
        <w:jc w:val="both"/>
        <w:rPr>
          <w:rFonts w:ascii="Times New Roman" w:hAnsi="Times New Roman" w:eastAsia="Times New Roman" w:cs="Times New Roman"/>
          <w:sz w:val="24"/>
          <w:szCs w:val="24"/>
          <w:lang w:val="ro-RO"/>
        </w:rPr>
      </w:pPr>
      <w:r>
        <w:rPr>
          <w:rFonts w:ascii="Times New Roman" w:hAnsi="Times New Roman" w:eastAsia="Calibri" w:cs="Times New Roman"/>
          <w:bCs/>
          <w:sz w:val="24"/>
          <w:szCs w:val="24"/>
          <w:lang w:val="ro-RO"/>
        </w:rPr>
        <w:tab/>
      </w:r>
      <w:r>
        <w:rPr>
          <w:rStyle w:val="15"/>
          <w:rFonts w:ascii="Times New Roman" w:hAnsi="Times New Roman" w:cs="Times New Roman"/>
          <w:color w:val="auto"/>
          <w:sz w:val="24"/>
          <w:szCs w:val="24"/>
          <w:lang w:val="ro-RO"/>
        </w:rPr>
        <w:t xml:space="preserve">În temeiul </w:t>
      </w:r>
      <w:r>
        <w:rPr>
          <w:rFonts w:ascii="Times New Roman" w:hAnsi="Times New Roman" w:cs="Times New Roman"/>
          <w:sz w:val="24"/>
          <w:szCs w:val="24"/>
          <w:lang w:val="ro-RO"/>
        </w:rPr>
        <w:t xml:space="preserve">art. 43 alin. (1) lit. c) al Legii nr. 436/2006 privind administraţia publică locală,  </w:t>
      </w:r>
      <w:r>
        <w:rPr>
          <w:rFonts w:ascii="Times New Roman" w:hAnsi="Times New Roman" w:cs="Times New Roman"/>
          <w:sz w:val="24"/>
          <w:szCs w:val="24"/>
        </w:rPr>
        <w:t xml:space="preserve">art.4 alin. (2) lit. a) din Legea nr.435/2006 privind descentralizarea administrative, </w:t>
      </w:r>
      <w:r>
        <w:rPr>
          <w:rFonts w:ascii="Times New Roman" w:hAnsi="Times New Roman" w:cs="Times New Roman"/>
          <w:sz w:val="24"/>
          <w:szCs w:val="24"/>
          <w:lang w:val="ro-RO"/>
        </w:rPr>
        <w:t xml:space="preserve">art. 62-64 din Legea nr. 100/2017 cu privire la actele normative, art. 654-655 din Codul Civil al Republicii Moldova nr. 1107/2002, </w:t>
      </w:r>
      <w:r>
        <w:rPr>
          <w:rFonts w:ascii="Times New Roman" w:hAnsi="Times New Roman" w:cs="Times New Roman"/>
          <w:sz w:val="24"/>
          <w:szCs w:val="24"/>
        </w:rPr>
        <w:t>Legea cadastrului bunurilor imobile nr. 1543/1998</w:t>
      </w:r>
      <w:r>
        <w:rPr>
          <w:rFonts w:ascii="Times New Roman" w:hAnsi="Times New Roman" w:cs="Times New Roman"/>
          <w:sz w:val="24"/>
          <w:szCs w:val="24"/>
          <w:lang w:val="ro-RO"/>
        </w:rPr>
        <w:t>, Demersul IMSP CNAMUP nr. 01-15/293 din 03.02.2026</w:t>
      </w:r>
      <w:r>
        <w:rPr>
          <w:rFonts w:ascii="Times New Roman" w:hAnsi="Times New Roman" w:cs="Times New Roman"/>
          <w:iCs/>
          <w:sz w:val="24"/>
          <w:szCs w:val="24"/>
          <w:lang w:val="ro-RO"/>
        </w:rPr>
        <w:t>,</w:t>
      </w:r>
    </w:p>
    <w:p w14:paraId="238C04B0">
      <w:pPr>
        <w:spacing w:line="276" w:lineRule="auto"/>
        <w:jc w:val="both"/>
        <w:rPr>
          <w:lang w:val="ro-RO"/>
        </w:rPr>
      </w:pPr>
      <w:r>
        <w:rPr>
          <w:lang w:val="ro-RO"/>
        </w:rPr>
        <w:t xml:space="preserve">            </w:t>
      </w:r>
      <w:r>
        <w:rPr>
          <w:lang w:val="en-US"/>
        </w:rPr>
        <w:t>Consiliul raional,</w:t>
      </w:r>
    </w:p>
    <w:p w14:paraId="4D9C8F0E">
      <w:pPr>
        <w:spacing w:line="276" w:lineRule="auto"/>
        <w:jc w:val="center"/>
        <w:rPr>
          <w:b/>
          <w:bCs/>
          <w:lang w:val="ro-RO"/>
        </w:rPr>
      </w:pPr>
      <w:r>
        <w:rPr>
          <w:b/>
          <w:bCs/>
          <w:lang w:val="ro-RO"/>
        </w:rPr>
        <w:t>DECIDE:</w:t>
      </w:r>
    </w:p>
    <w:p w14:paraId="55F66772">
      <w:pPr>
        <w:pStyle w:val="16"/>
        <w:numPr>
          <w:ilvl w:val="0"/>
          <w:numId w:val="3"/>
        </w:numPr>
        <w:jc w:val="both"/>
        <w:rPr>
          <w:lang w:val="en-US"/>
        </w:rPr>
      </w:pPr>
      <w:r>
        <w:rPr>
          <w:lang w:val="en-US"/>
        </w:rPr>
        <w:t>Se aprobă:</w:t>
      </w:r>
    </w:p>
    <w:p w14:paraId="1D717E27">
      <w:pPr>
        <w:pStyle w:val="16"/>
        <w:ind w:left="0" w:firstLine="720"/>
        <w:jc w:val="both"/>
        <w:rPr>
          <w:lang w:val="en-US"/>
        </w:rPr>
      </w:pPr>
      <w:r>
        <w:rPr>
          <w:lang w:val="en-US"/>
        </w:rPr>
        <w:t xml:space="preserve">1.1. Planul geometric actualizat al bunului imobil cu numărul cadastral 74015020203, conform anexei nr. 1. </w:t>
      </w:r>
    </w:p>
    <w:p w14:paraId="26015CF6">
      <w:pPr>
        <w:pStyle w:val="16"/>
        <w:ind w:left="0" w:firstLine="709"/>
        <w:jc w:val="both"/>
        <w:rPr>
          <w:lang w:val="en-US"/>
        </w:rPr>
      </w:pPr>
      <w:r>
        <w:rPr>
          <w:lang w:val="en-US"/>
        </w:rPr>
        <w:t>1.2.  Planul geometric al porțiunii de teren asupra căreia se constituie dreptul de superficie, cu suprafața de 0,0201 ha, din suprafața totală 5,8663 ha, conform anexei nr. 2;</w:t>
      </w:r>
    </w:p>
    <w:p w14:paraId="1D580516">
      <w:pPr>
        <w:pStyle w:val="16"/>
        <w:ind w:left="0" w:firstLine="709"/>
        <w:jc w:val="both"/>
        <w:rPr>
          <w:lang w:val="en-US"/>
        </w:rPr>
      </w:pPr>
      <w:r>
        <w:rPr>
          <w:lang w:val="en-US"/>
        </w:rPr>
        <w:t>1.3. Planul geometric al porțiunii de teren asupra căreia se instituie servitutea de trecere, cu suprafața de 0,0220 ha, din suprafața totală 5,8663 ha, conform anexei nr. 3.</w:t>
      </w:r>
    </w:p>
    <w:p w14:paraId="71573669">
      <w:pPr>
        <w:numPr>
          <w:ilvl w:val="0"/>
          <w:numId w:val="3"/>
        </w:numPr>
        <w:tabs>
          <w:tab w:val="left" w:pos="0"/>
          <w:tab w:val="left" w:pos="851"/>
          <w:tab w:val="left" w:pos="990"/>
        </w:tabs>
        <w:spacing w:after="160" w:line="276" w:lineRule="auto"/>
        <w:ind w:left="0" w:firstLine="567"/>
        <w:jc w:val="both"/>
        <w:rPr>
          <w:lang w:val="ro-RO"/>
        </w:rPr>
      </w:pPr>
      <w:r>
        <w:rPr>
          <w:lang w:val="ro-RO"/>
        </w:rPr>
        <w:t xml:space="preserve">Se modifică Anexa nr. 1 a Deciziei nr. 4/1 din  04 iulie 2025 „Cu privire la aprobarea listei bunurilor imobile privind delimitarea selectivă ale bunurilor imobile proprietate publică ale UAT nivel II r-nul Sîngerei și înregistrarea dreptului de proprietate ale bunurilor imobile”, </w:t>
      </w:r>
      <w:r>
        <w:rPr>
          <w:lang w:val="en-US"/>
        </w:rPr>
        <w:t>prin excluderea poziției nr. 1.20:</w:t>
      </w:r>
    </w:p>
    <w:tbl>
      <w:tblPr>
        <w:tblStyle w:val="6"/>
        <w:tblW w:w="1034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709"/>
        <w:gridCol w:w="1134"/>
        <w:gridCol w:w="1418"/>
        <w:gridCol w:w="1873"/>
        <w:gridCol w:w="1132"/>
        <w:gridCol w:w="1277"/>
        <w:gridCol w:w="1132"/>
      </w:tblGrid>
      <w:tr w14:paraId="2B9C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325" w:type="pct"/>
            <w:shd w:val="clear" w:color="auto" w:fill="auto"/>
          </w:tcPr>
          <w:p w14:paraId="39CF4E0F">
            <w:pPr>
              <w:widowControl w:val="0"/>
              <w:autoSpaceDE w:val="0"/>
              <w:autoSpaceDN w:val="0"/>
              <w:adjustRightInd w:val="0"/>
              <w:jc w:val="center"/>
              <w:rPr>
                <w:rFonts w:eastAsia="Calibri"/>
                <w:sz w:val="22"/>
                <w:szCs w:val="22"/>
                <w:lang w:val="ro-RO"/>
              </w:rPr>
            </w:pPr>
            <w:r>
              <w:rPr>
                <w:rFonts w:eastAsia="Calibri"/>
                <w:sz w:val="22"/>
                <w:szCs w:val="22"/>
                <w:lang w:val="ro-RO"/>
              </w:rPr>
              <w:t>Nr.</w:t>
            </w:r>
          </w:p>
          <w:p w14:paraId="60F26F49">
            <w:pPr>
              <w:widowControl w:val="0"/>
              <w:autoSpaceDE w:val="0"/>
              <w:autoSpaceDN w:val="0"/>
              <w:adjustRightInd w:val="0"/>
              <w:jc w:val="center"/>
              <w:rPr>
                <w:rFonts w:eastAsia="Calibri"/>
                <w:sz w:val="22"/>
                <w:szCs w:val="22"/>
                <w:lang w:val="ro-RO"/>
              </w:rPr>
            </w:pPr>
            <w:r>
              <w:rPr>
                <w:rFonts w:eastAsia="Calibri"/>
                <w:sz w:val="22"/>
                <w:szCs w:val="22"/>
                <w:lang w:val="ro-RO"/>
              </w:rPr>
              <w:t>crt.</w:t>
            </w:r>
          </w:p>
        </w:tc>
        <w:tc>
          <w:tcPr>
            <w:tcW w:w="826" w:type="pct"/>
            <w:shd w:val="clear" w:color="auto" w:fill="auto"/>
          </w:tcPr>
          <w:p w14:paraId="4FA43B8E">
            <w:pPr>
              <w:widowControl w:val="0"/>
              <w:autoSpaceDE w:val="0"/>
              <w:autoSpaceDN w:val="0"/>
              <w:adjustRightInd w:val="0"/>
              <w:jc w:val="center"/>
              <w:rPr>
                <w:rFonts w:eastAsia="Calibri"/>
                <w:sz w:val="22"/>
                <w:szCs w:val="22"/>
                <w:lang w:val="ro-RO"/>
              </w:rPr>
            </w:pPr>
            <w:r>
              <w:rPr>
                <w:rFonts w:eastAsia="Calibri"/>
                <w:sz w:val="22"/>
                <w:szCs w:val="22"/>
                <w:lang w:val="ro-RO"/>
              </w:rPr>
              <w:t>Tipul bunului imobil</w:t>
            </w:r>
          </w:p>
          <w:p w14:paraId="6A8D8FF9">
            <w:pPr>
              <w:widowControl w:val="0"/>
              <w:autoSpaceDE w:val="0"/>
              <w:autoSpaceDN w:val="0"/>
              <w:adjustRightInd w:val="0"/>
              <w:jc w:val="center"/>
              <w:rPr>
                <w:rFonts w:eastAsia="Calibri"/>
                <w:sz w:val="22"/>
                <w:szCs w:val="22"/>
                <w:lang w:val="ro-RO"/>
              </w:rPr>
            </w:pPr>
            <w:r>
              <w:rPr>
                <w:rFonts w:eastAsia="Calibri"/>
                <w:sz w:val="22"/>
                <w:szCs w:val="22"/>
                <w:lang w:val="ro-RO"/>
              </w:rPr>
              <w:t>(teren/construcţie/ încăpere izolată)</w:t>
            </w:r>
          </w:p>
        </w:tc>
        <w:tc>
          <w:tcPr>
            <w:tcW w:w="548" w:type="pct"/>
            <w:shd w:val="clear" w:color="auto" w:fill="auto"/>
          </w:tcPr>
          <w:p w14:paraId="53D9380B">
            <w:pPr>
              <w:widowControl w:val="0"/>
              <w:autoSpaceDE w:val="0"/>
              <w:autoSpaceDN w:val="0"/>
              <w:adjustRightInd w:val="0"/>
              <w:jc w:val="center"/>
              <w:rPr>
                <w:rFonts w:eastAsia="Calibri"/>
                <w:bCs/>
                <w:sz w:val="22"/>
                <w:szCs w:val="22"/>
                <w:lang w:val="ro-RO"/>
              </w:rPr>
            </w:pPr>
            <w:r>
              <w:rPr>
                <w:rFonts w:eastAsia="Calibri"/>
                <w:bCs/>
                <w:sz w:val="22"/>
                <w:szCs w:val="22"/>
                <w:lang w:val="ro-RO"/>
              </w:rPr>
              <w:t>Categoria de destinaţie,</w:t>
            </w:r>
          </w:p>
          <w:p w14:paraId="4F47F01C">
            <w:pPr>
              <w:widowControl w:val="0"/>
              <w:autoSpaceDE w:val="0"/>
              <w:autoSpaceDN w:val="0"/>
              <w:adjustRightInd w:val="0"/>
              <w:jc w:val="center"/>
              <w:rPr>
                <w:rFonts w:eastAsia="Calibri"/>
                <w:sz w:val="22"/>
                <w:szCs w:val="22"/>
                <w:lang w:val="ro-RO"/>
              </w:rPr>
            </w:pPr>
            <w:r>
              <w:rPr>
                <w:rFonts w:eastAsia="Calibri"/>
                <w:bCs/>
                <w:sz w:val="22"/>
                <w:szCs w:val="22"/>
                <w:lang w:val="ro-RO"/>
              </w:rPr>
              <w:t>modul de folosinţă</w:t>
            </w:r>
          </w:p>
        </w:tc>
        <w:tc>
          <w:tcPr>
            <w:tcW w:w="685" w:type="pct"/>
            <w:shd w:val="clear" w:color="auto" w:fill="auto"/>
          </w:tcPr>
          <w:p w14:paraId="15D35484">
            <w:pPr>
              <w:widowControl w:val="0"/>
              <w:autoSpaceDE w:val="0"/>
              <w:autoSpaceDN w:val="0"/>
              <w:adjustRightInd w:val="0"/>
              <w:jc w:val="center"/>
              <w:rPr>
                <w:rFonts w:eastAsia="Calibri"/>
                <w:sz w:val="22"/>
                <w:szCs w:val="22"/>
                <w:lang w:val="ro-RO"/>
              </w:rPr>
            </w:pPr>
            <w:r>
              <w:rPr>
                <w:rFonts w:eastAsia="Calibri"/>
                <w:sz w:val="22"/>
                <w:szCs w:val="22"/>
                <w:lang w:val="ro-RO"/>
              </w:rPr>
              <w:t>Adresa bunului  imobil</w:t>
            </w:r>
          </w:p>
        </w:tc>
        <w:tc>
          <w:tcPr>
            <w:tcW w:w="905" w:type="pct"/>
            <w:shd w:val="clear" w:color="auto" w:fill="auto"/>
          </w:tcPr>
          <w:p w14:paraId="675E0678">
            <w:pPr>
              <w:widowControl w:val="0"/>
              <w:autoSpaceDE w:val="0"/>
              <w:autoSpaceDN w:val="0"/>
              <w:adjustRightInd w:val="0"/>
              <w:jc w:val="center"/>
              <w:rPr>
                <w:rFonts w:eastAsia="Calibri"/>
                <w:sz w:val="22"/>
                <w:szCs w:val="22"/>
                <w:lang w:val="ro-RO"/>
              </w:rPr>
            </w:pPr>
            <w:r>
              <w:rPr>
                <w:rFonts w:eastAsia="Calibri"/>
                <w:sz w:val="22"/>
                <w:szCs w:val="22"/>
                <w:lang w:val="ro-RO"/>
              </w:rPr>
              <w:t>Numărul cadastral</w:t>
            </w:r>
          </w:p>
          <w:p w14:paraId="1D2B247B">
            <w:pPr>
              <w:widowControl w:val="0"/>
              <w:autoSpaceDE w:val="0"/>
              <w:autoSpaceDN w:val="0"/>
              <w:adjustRightInd w:val="0"/>
              <w:jc w:val="center"/>
              <w:rPr>
                <w:rFonts w:eastAsia="Calibri"/>
                <w:sz w:val="22"/>
                <w:szCs w:val="22"/>
                <w:lang w:val="ro-RO"/>
              </w:rPr>
            </w:pPr>
            <w:r>
              <w:rPr>
                <w:rFonts w:eastAsia="Calibri"/>
                <w:sz w:val="22"/>
                <w:szCs w:val="22"/>
                <w:lang w:val="ro-RO"/>
              </w:rPr>
              <w:t>(teren/construcţie/</w:t>
            </w:r>
          </w:p>
          <w:p w14:paraId="1B2331F7">
            <w:pPr>
              <w:widowControl w:val="0"/>
              <w:autoSpaceDE w:val="0"/>
              <w:autoSpaceDN w:val="0"/>
              <w:adjustRightInd w:val="0"/>
              <w:jc w:val="center"/>
              <w:rPr>
                <w:rFonts w:eastAsia="Calibri"/>
                <w:sz w:val="22"/>
                <w:szCs w:val="22"/>
                <w:lang w:val="ro-RO"/>
              </w:rPr>
            </w:pPr>
            <w:r>
              <w:rPr>
                <w:rFonts w:eastAsia="Calibri"/>
                <w:sz w:val="22"/>
                <w:szCs w:val="22"/>
                <w:lang w:val="ro-RO"/>
              </w:rPr>
              <w:t>încăpere izolată)</w:t>
            </w:r>
            <w:r>
              <w:rPr>
                <w:rFonts w:eastAsia="Calibri"/>
                <w:sz w:val="22"/>
                <w:szCs w:val="22"/>
                <w:vertAlign w:val="superscript"/>
                <w:lang w:val="ro-RO"/>
              </w:rPr>
              <w:t>2</w:t>
            </w:r>
          </w:p>
        </w:tc>
        <w:tc>
          <w:tcPr>
            <w:tcW w:w="547" w:type="pct"/>
            <w:shd w:val="clear" w:color="auto" w:fill="auto"/>
          </w:tcPr>
          <w:p w14:paraId="30409BCF">
            <w:pPr>
              <w:widowControl w:val="0"/>
              <w:autoSpaceDE w:val="0"/>
              <w:autoSpaceDN w:val="0"/>
              <w:adjustRightInd w:val="0"/>
              <w:jc w:val="center"/>
              <w:rPr>
                <w:rFonts w:eastAsia="Calibri"/>
                <w:sz w:val="22"/>
                <w:szCs w:val="22"/>
                <w:lang w:val="ro-RO"/>
              </w:rPr>
            </w:pPr>
            <w:r>
              <w:rPr>
                <w:rFonts w:eastAsia="Calibri"/>
                <w:sz w:val="22"/>
                <w:szCs w:val="22"/>
                <w:lang w:val="ro-RO"/>
              </w:rPr>
              <w:t>Suprafaţa (ha/m</w:t>
            </w:r>
            <w:r>
              <w:rPr>
                <w:rFonts w:eastAsia="Calibri"/>
                <w:sz w:val="22"/>
                <w:szCs w:val="22"/>
                <w:vertAlign w:val="superscript"/>
                <w:lang w:val="ro-RO"/>
              </w:rPr>
              <w:t>2</w:t>
            </w:r>
            <w:r>
              <w:rPr>
                <w:rFonts w:eastAsia="Calibri"/>
                <w:sz w:val="22"/>
                <w:szCs w:val="22"/>
                <w:lang w:val="ro-RO"/>
              </w:rPr>
              <w:t>)</w:t>
            </w:r>
          </w:p>
        </w:tc>
        <w:tc>
          <w:tcPr>
            <w:tcW w:w="617" w:type="pct"/>
            <w:shd w:val="clear" w:color="auto" w:fill="auto"/>
          </w:tcPr>
          <w:p w14:paraId="39A62E30">
            <w:pPr>
              <w:widowControl w:val="0"/>
              <w:autoSpaceDE w:val="0"/>
              <w:autoSpaceDN w:val="0"/>
              <w:adjustRightInd w:val="0"/>
              <w:jc w:val="center"/>
              <w:rPr>
                <w:rFonts w:eastAsia="Calibri"/>
                <w:sz w:val="22"/>
                <w:szCs w:val="22"/>
                <w:lang w:val="ro-RO"/>
              </w:rPr>
            </w:pPr>
            <w:r>
              <w:rPr>
                <w:rFonts w:eastAsia="Calibri"/>
                <w:sz w:val="22"/>
                <w:szCs w:val="22"/>
                <w:lang w:val="ro-RO"/>
              </w:rPr>
              <w:t>Numărul de niveluri ale construcţiei</w:t>
            </w:r>
          </w:p>
          <w:p w14:paraId="3746C70C">
            <w:pPr>
              <w:widowControl w:val="0"/>
              <w:autoSpaceDE w:val="0"/>
              <w:autoSpaceDN w:val="0"/>
              <w:adjustRightInd w:val="0"/>
              <w:jc w:val="center"/>
              <w:rPr>
                <w:rFonts w:eastAsia="Calibri"/>
                <w:sz w:val="22"/>
                <w:szCs w:val="22"/>
                <w:lang w:val="ro-RO"/>
              </w:rPr>
            </w:pPr>
          </w:p>
        </w:tc>
        <w:tc>
          <w:tcPr>
            <w:tcW w:w="547" w:type="pct"/>
            <w:shd w:val="clear" w:color="auto" w:fill="auto"/>
          </w:tcPr>
          <w:p w14:paraId="314EE882">
            <w:pPr>
              <w:widowControl w:val="0"/>
              <w:autoSpaceDE w:val="0"/>
              <w:autoSpaceDN w:val="0"/>
              <w:adjustRightInd w:val="0"/>
              <w:jc w:val="center"/>
              <w:rPr>
                <w:rFonts w:eastAsia="Calibri"/>
                <w:sz w:val="22"/>
                <w:szCs w:val="22"/>
                <w:lang w:val="ro-RO"/>
              </w:rPr>
            </w:pPr>
            <w:r>
              <w:rPr>
                <w:rFonts w:eastAsia="Calibri"/>
                <w:sz w:val="22"/>
                <w:szCs w:val="22"/>
                <w:lang w:val="ro-RO"/>
              </w:rPr>
              <w:t>Domeniul</w:t>
            </w:r>
          </w:p>
          <w:p w14:paraId="3B3A9234">
            <w:pPr>
              <w:widowControl w:val="0"/>
              <w:autoSpaceDE w:val="0"/>
              <w:autoSpaceDN w:val="0"/>
              <w:adjustRightInd w:val="0"/>
              <w:jc w:val="center"/>
              <w:rPr>
                <w:rFonts w:eastAsia="Calibri"/>
                <w:sz w:val="22"/>
                <w:szCs w:val="22"/>
                <w:lang w:val="ro-RO"/>
              </w:rPr>
            </w:pPr>
            <w:r>
              <w:rPr>
                <w:rFonts w:eastAsia="Calibri"/>
                <w:sz w:val="22"/>
                <w:szCs w:val="22"/>
                <w:lang w:val="ro-RO"/>
              </w:rPr>
              <w:t>(public/</w:t>
            </w:r>
          </w:p>
          <w:p w14:paraId="51079999">
            <w:pPr>
              <w:widowControl w:val="0"/>
              <w:autoSpaceDE w:val="0"/>
              <w:autoSpaceDN w:val="0"/>
              <w:adjustRightInd w:val="0"/>
              <w:jc w:val="center"/>
              <w:rPr>
                <w:rFonts w:eastAsia="Calibri"/>
                <w:sz w:val="22"/>
                <w:szCs w:val="22"/>
                <w:lang w:val="ro-RO"/>
              </w:rPr>
            </w:pPr>
            <w:r>
              <w:rPr>
                <w:rFonts w:eastAsia="Calibri"/>
                <w:sz w:val="22"/>
                <w:szCs w:val="22"/>
                <w:lang w:val="ro-RO"/>
              </w:rPr>
              <w:t>privat)</w:t>
            </w:r>
          </w:p>
        </w:tc>
      </w:tr>
      <w:tr w14:paraId="51CA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325" w:type="pct"/>
            <w:shd w:val="clear" w:color="auto" w:fill="auto"/>
          </w:tcPr>
          <w:p w14:paraId="2BD12788">
            <w:pPr>
              <w:widowControl w:val="0"/>
              <w:autoSpaceDE w:val="0"/>
              <w:autoSpaceDN w:val="0"/>
              <w:adjustRightInd w:val="0"/>
              <w:spacing w:line="276" w:lineRule="auto"/>
              <w:jc w:val="center"/>
              <w:rPr>
                <w:rFonts w:eastAsia="Calibri"/>
                <w:sz w:val="22"/>
                <w:lang w:val="ro-RO"/>
              </w:rPr>
            </w:pPr>
            <w:r>
              <w:rPr>
                <w:rFonts w:eastAsia="Calibri"/>
                <w:sz w:val="22"/>
                <w:lang w:val="ro-RO"/>
              </w:rPr>
              <w:t>1.20</w:t>
            </w:r>
          </w:p>
        </w:tc>
        <w:tc>
          <w:tcPr>
            <w:tcW w:w="826" w:type="pct"/>
            <w:shd w:val="clear" w:color="auto" w:fill="auto"/>
          </w:tcPr>
          <w:p w14:paraId="11E66413">
            <w:pPr>
              <w:widowControl w:val="0"/>
              <w:autoSpaceDE w:val="0"/>
              <w:autoSpaceDN w:val="0"/>
              <w:adjustRightInd w:val="0"/>
              <w:spacing w:line="276" w:lineRule="auto"/>
              <w:jc w:val="center"/>
              <w:rPr>
                <w:rFonts w:eastAsia="Calibri"/>
                <w:sz w:val="22"/>
                <w:lang w:val="ro-RO"/>
              </w:rPr>
            </w:pPr>
            <w:r>
              <w:rPr>
                <w:rFonts w:eastAsia="Calibri"/>
                <w:sz w:val="22"/>
                <w:lang w:val="ro-RO"/>
              </w:rPr>
              <w:t>Construcție</w:t>
            </w:r>
          </w:p>
        </w:tc>
        <w:tc>
          <w:tcPr>
            <w:tcW w:w="548" w:type="pct"/>
            <w:shd w:val="clear" w:color="auto" w:fill="auto"/>
          </w:tcPr>
          <w:p w14:paraId="4E99F44F">
            <w:pPr>
              <w:widowControl w:val="0"/>
              <w:autoSpaceDE w:val="0"/>
              <w:autoSpaceDN w:val="0"/>
              <w:adjustRightInd w:val="0"/>
              <w:spacing w:line="276" w:lineRule="auto"/>
              <w:jc w:val="center"/>
              <w:rPr>
                <w:rFonts w:eastAsia="Calibri"/>
                <w:bCs/>
                <w:sz w:val="22"/>
                <w:lang w:val="ro-RO"/>
              </w:rPr>
            </w:pPr>
            <w:r>
              <w:rPr>
                <w:sz w:val="22"/>
                <w:lang w:val="ro-RO"/>
              </w:rPr>
              <w:t>de sănătate şi asistenţă socială</w:t>
            </w:r>
          </w:p>
        </w:tc>
        <w:tc>
          <w:tcPr>
            <w:tcW w:w="685" w:type="pct"/>
            <w:shd w:val="clear" w:color="auto" w:fill="auto"/>
          </w:tcPr>
          <w:p w14:paraId="033E5883">
            <w:pPr>
              <w:widowControl w:val="0"/>
              <w:autoSpaceDE w:val="0"/>
              <w:autoSpaceDN w:val="0"/>
              <w:adjustRightInd w:val="0"/>
              <w:spacing w:line="276" w:lineRule="auto"/>
              <w:jc w:val="center"/>
              <w:rPr>
                <w:rFonts w:eastAsia="Calibri"/>
                <w:sz w:val="22"/>
                <w:lang w:val="ro-RO"/>
              </w:rPr>
            </w:pPr>
            <w:r>
              <w:rPr>
                <w:sz w:val="22"/>
                <w:lang w:val="ro-RO"/>
              </w:rPr>
              <w:t>r-nul Sîngerei, or. Sîngerei, str. Nicolae Testemiţanu nr. 51</w:t>
            </w:r>
          </w:p>
        </w:tc>
        <w:tc>
          <w:tcPr>
            <w:tcW w:w="905" w:type="pct"/>
            <w:shd w:val="clear" w:color="auto" w:fill="auto"/>
          </w:tcPr>
          <w:p w14:paraId="09D65CF4">
            <w:pPr>
              <w:widowControl w:val="0"/>
              <w:autoSpaceDE w:val="0"/>
              <w:autoSpaceDN w:val="0"/>
              <w:adjustRightInd w:val="0"/>
              <w:spacing w:line="276" w:lineRule="auto"/>
              <w:jc w:val="center"/>
              <w:rPr>
                <w:rFonts w:eastAsia="Calibri"/>
                <w:color w:val="000000"/>
                <w:sz w:val="22"/>
                <w:lang w:val="ro-RO"/>
              </w:rPr>
            </w:pPr>
            <w:r>
              <w:rPr>
                <w:rFonts w:eastAsia="Calibri"/>
                <w:color w:val="000000"/>
                <w:sz w:val="22"/>
                <w:lang w:val="ro-RO"/>
              </w:rPr>
              <w:t>74015020203.20</w:t>
            </w:r>
          </w:p>
        </w:tc>
        <w:tc>
          <w:tcPr>
            <w:tcW w:w="547" w:type="pct"/>
            <w:shd w:val="clear" w:color="auto" w:fill="auto"/>
          </w:tcPr>
          <w:p w14:paraId="7FB8BB6E">
            <w:pPr>
              <w:widowControl w:val="0"/>
              <w:autoSpaceDE w:val="0"/>
              <w:autoSpaceDN w:val="0"/>
              <w:adjustRightInd w:val="0"/>
              <w:spacing w:line="276" w:lineRule="auto"/>
              <w:jc w:val="center"/>
              <w:rPr>
                <w:rFonts w:eastAsia="Calibri"/>
                <w:color w:val="FF0000"/>
                <w:sz w:val="22"/>
                <w:lang w:val="ro-RO"/>
              </w:rPr>
            </w:pPr>
            <w:r>
              <w:rPr>
                <w:sz w:val="22"/>
                <w:lang w:val="ro-RO"/>
              </w:rPr>
              <w:t>102.2 m.p.</w:t>
            </w:r>
          </w:p>
        </w:tc>
        <w:tc>
          <w:tcPr>
            <w:tcW w:w="617" w:type="pct"/>
            <w:shd w:val="clear" w:color="auto" w:fill="auto"/>
          </w:tcPr>
          <w:p w14:paraId="6CFB6409">
            <w:pPr>
              <w:widowControl w:val="0"/>
              <w:autoSpaceDE w:val="0"/>
              <w:autoSpaceDN w:val="0"/>
              <w:adjustRightInd w:val="0"/>
              <w:spacing w:line="276" w:lineRule="auto"/>
              <w:jc w:val="center"/>
              <w:rPr>
                <w:rFonts w:eastAsia="Calibri"/>
                <w:sz w:val="22"/>
                <w:lang w:val="ro-RO"/>
              </w:rPr>
            </w:pPr>
            <w:r>
              <w:rPr>
                <w:rFonts w:eastAsia="Calibri"/>
                <w:sz w:val="22"/>
                <w:lang w:val="ro-RO"/>
              </w:rPr>
              <w:t>1</w:t>
            </w:r>
          </w:p>
        </w:tc>
        <w:tc>
          <w:tcPr>
            <w:tcW w:w="547" w:type="pct"/>
            <w:shd w:val="clear" w:color="auto" w:fill="auto"/>
          </w:tcPr>
          <w:p w14:paraId="03398C5C">
            <w:pPr>
              <w:widowControl w:val="0"/>
              <w:autoSpaceDE w:val="0"/>
              <w:autoSpaceDN w:val="0"/>
              <w:adjustRightInd w:val="0"/>
              <w:spacing w:line="276" w:lineRule="auto"/>
              <w:jc w:val="center"/>
              <w:rPr>
                <w:rFonts w:eastAsia="Calibri"/>
                <w:sz w:val="22"/>
                <w:lang w:val="ro-RO"/>
              </w:rPr>
            </w:pPr>
            <w:r>
              <w:rPr>
                <w:rFonts w:eastAsia="Calibri"/>
                <w:sz w:val="22"/>
                <w:lang w:val="ro-RO"/>
              </w:rPr>
              <w:t>public</w:t>
            </w:r>
          </w:p>
        </w:tc>
      </w:tr>
    </w:tbl>
    <w:p w14:paraId="22AC1B6D">
      <w:pPr>
        <w:tabs>
          <w:tab w:val="left" w:pos="860"/>
          <w:tab w:val="left" w:pos="1027"/>
        </w:tabs>
        <w:spacing w:line="276" w:lineRule="auto"/>
        <w:ind w:firstLine="567"/>
        <w:contextualSpacing/>
        <w:jc w:val="both"/>
        <w:rPr>
          <w:rFonts w:eastAsia="Calibri"/>
          <w:lang w:val="ro-RO" w:eastAsia="en-US"/>
        </w:rPr>
      </w:pPr>
      <w:r>
        <w:rPr>
          <w:lang w:val="en-US"/>
        </w:rPr>
        <w:t xml:space="preserve">2.1. </w:t>
      </w:r>
      <w:r>
        <w:rPr>
          <w:lang w:val="ro-RO"/>
        </w:rPr>
        <w:t>Se solicită IP „</w:t>
      </w:r>
      <w:r>
        <w:rPr>
          <w:lang w:val="en-US"/>
        </w:rPr>
        <w:t>Cadastrul bunurilor imobile” SCT Sîngerei, efectuarea modificărilor înscrierii corespunzătoare în Registrul bunurilor imobile, prin stingerea dreptului de proprietate.</w:t>
      </w:r>
    </w:p>
    <w:p w14:paraId="3499FC72">
      <w:pPr>
        <w:pStyle w:val="16"/>
        <w:numPr>
          <w:ilvl w:val="0"/>
          <w:numId w:val="3"/>
        </w:numPr>
        <w:tabs>
          <w:tab w:val="left" w:pos="0"/>
          <w:tab w:val="left" w:pos="567"/>
          <w:tab w:val="left" w:pos="851"/>
          <w:tab w:val="left" w:pos="9565"/>
        </w:tabs>
        <w:spacing w:line="276" w:lineRule="auto"/>
        <w:ind w:left="0" w:firstLine="567"/>
        <w:contextualSpacing/>
        <w:jc w:val="both"/>
        <w:rPr>
          <w:lang w:val="en-US"/>
        </w:rPr>
      </w:pPr>
      <w:r>
        <w:rPr>
          <w:lang w:val="en-US"/>
        </w:rPr>
        <w:t>Se instituie servitutea de trecere asupra unei porțiuni de teren cu suprafața de 0,0220 ha, din terenul cu nr. cadastral 7401502.203, conform Planului geometric anexat.</w:t>
      </w:r>
    </w:p>
    <w:p w14:paraId="7D9D4E9A">
      <w:pPr>
        <w:pStyle w:val="16"/>
        <w:numPr>
          <w:ilvl w:val="0"/>
          <w:numId w:val="3"/>
        </w:numPr>
        <w:tabs>
          <w:tab w:val="left" w:pos="874"/>
          <w:tab w:val="left" w:pos="9565"/>
        </w:tabs>
        <w:spacing w:line="276" w:lineRule="auto"/>
        <w:ind w:left="0" w:firstLine="567"/>
        <w:contextualSpacing/>
        <w:jc w:val="both"/>
        <w:rPr>
          <w:lang w:val="ro-RO"/>
        </w:rPr>
      </w:pPr>
      <w:r>
        <w:rPr>
          <w:lang w:val="en-US"/>
        </w:rPr>
        <w:t>Se constituie dreptul de superficie asupra unei porțiuni de teren cu suprafața de 0,0201 ha, din terenul cu nr. cadastral 7401502.203, proprietate publică a Consiliului raional Sîngerei, în favoarea IMSP „Centrul Național de Asistență Medicală Urgentă Prespitalicească”, în calitate de superficiar, pe un termen de 30 (treizeci) de ani, cu titlu gratuit.</w:t>
      </w:r>
    </w:p>
    <w:p w14:paraId="0F1061D7">
      <w:pPr>
        <w:pStyle w:val="9"/>
        <w:numPr>
          <w:ilvl w:val="0"/>
          <w:numId w:val="3"/>
        </w:numPr>
        <w:tabs>
          <w:tab w:val="left" w:pos="0"/>
          <w:tab w:val="left" w:pos="851"/>
        </w:tabs>
        <w:spacing w:after="0" w:line="276" w:lineRule="auto"/>
        <w:ind w:left="0" w:firstLine="567"/>
        <w:jc w:val="both"/>
        <w:rPr>
          <w:rFonts w:eastAsiaTheme="minorHAnsi"/>
          <w:lang w:val="ro-RO" w:eastAsia="en-US"/>
        </w:rPr>
      </w:pPr>
      <w:r>
        <w:rPr>
          <w:lang w:val="en-US"/>
        </w:rPr>
        <w:t>Se împuternicește Președintele raionului Sîngerei, dl Cristian Cainarian, să semneze, în numele Consiliului raional Sîngerei, contractul de constituire a dreptului de superficie cu IMSP „Centrul Național de Asistență Medicală Urgentă Prespitalicească”.</w:t>
      </w:r>
    </w:p>
    <w:p w14:paraId="70624734">
      <w:pPr>
        <w:pStyle w:val="9"/>
        <w:numPr>
          <w:ilvl w:val="0"/>
          <w:numId w:val="3"/>
        </w:numPr>
        <w:tabs>
          <w:tab w:val="left" w:pos="0"/>
          <w:tab w:val="left" w:pos="851"/>
        </w:tabs>
        <w:spacing w:after="0" w:line="276" w:lineRule="auto"/>
        <w:ind w:left="0" w:firstLine="567"/>
        <w:jc w:val="both"/>
        <w:rPr>
          <w:rFonts w:eastAsiaTheme="minorHAnsi"/>
          <w:lang w:val="ro-RO" w:eastAsia="en-US"/>
        </w:rPr>
      </w:pPr>
      <w:r>
        <w:rPr>
          <w:lang w:val="en-US"/>
        </w:rPr>
        <w:t>Se desemnează Serviciul Agricultură și Cadastru responsabil de executarea prezentei decizii.</w:t>
      </w:r>
    </w:p>
    <w:p w14:paraId="61A1D9B2">
      <w:pPr>
        <w:pStyle w:val="9"/>
        <w:numPr>
          <w:ilvl w:val="0"/>
          <w:numId w:val="3"/>
        </w:numPr>
        <w:tabs>
          <w:tab w:val="left" w:pos="0"/>
          <w:tab w:val="left" w:pos="851"/>
        </w:tabs>
        <w:spacing w:after="0" w:line="276" w:lineRule="auto"/>
        <w:ind w:left="0" w:firstLine="567"/>
        <w:jc w:val="both"/>
        <w:rPr>
          <w:rFonts w:eastAsiaTheme="minorHAnsi"/>
          <w:lang w:val="ro-RO" w:eastAsia="en-US"/>
        </w:rPr>
      </w:pPr>
      <w:r>
        <w:rPr>
          <w:bCs/>
          <w:lang w:val="en-US"/>
        </w:rPr>
        <w:t xml:space="preserve">Se abrogă </w:t>
      </w:r>
      <w:r>
        <w:rPr>
          <w:lang w:val="en-US"/>
        </w:rPr>
        <w:t>Decizia Consiliului raional Sîngerei nr. 2/16 din 30.03.2026 „Privind modificarea Deciziei nr. 4/1 din 04 iulie 2025 „Cu privire la aprobarea listei bunurilor imobile privind delimitarea selectivă ale bunurilor imobile proprietate publică ale UAT nivel II r-nul Sîngerei și înregistrarea dreptului de proprietate ale bunurilor imobile”.</w:t>
      </w:r>
    </w:p>
    <w:p w14:paraId="7E2E7850">
      <w:pPr>
        <w:pStyle w:val="9"/>
        <w:numPr>
          <w:ilvl w:val="0"/>
          <w:numId w:val="3"/>
        </w:numPr>
        <w:tabs>
          <w:tab w:val="left" w:pos="0"/>
          <w:tab w:val="left" w:pos="851"/>
        </w:tabs>
        <w:spacing w:after="0" w:line="276" w:lineRule="auto"/>
        <w:ind w:left="0" w:firstLine="567"/>
        <w:jc w:val="both"/>
        <w:rPr>
          <w:rFonts w:eastAsiaTheme="minorHAnsi"/>
          <w:lang w:val="ro-RO" w:eastAsia="en-US"/>
        </w:rPr>
      </w:pPr>
      <w:r>
        <w:rPr>
          <w:lang w:val="ro-RO"/>
        </w:rPr>
        <w:t xml:space="preserve">Controlul executării prezentei decizii se pune în seama Comisiei consultative pentru Construcţii, arhitectură, gospodărie comunală, energie şi protecţia mediului (V. Luca). </w:t>
      </w:r>
    </w:p>
    <w:p w14:paraId="576CD83D">
      <w:pPr>
        <w:numPr>
          <w:ilvl w:val="0"/>
          <w:numId w:val="3"/>
        </w:numPr>
        <w:tabs>
          <w:tab w:val="left" w:pos="828"/>
        </w:tabs>
        <w:spacing w:line="276" w:lineRule="auto"/>
        <w:ind w:left="34" w:firstLine="568"/>
        <w:jc w:val="both"/>
        <w:rPr>
          <w:rFonts w:eastAsiaTheme="minorHAnsi"/>
          <w:lang w:val="ro-RO" w:eastAsia="en-US"/>
        </w:rPr>
      </w:pPr>
      <w:r>
        <w:rPr>
          <w:rFonts w:eastAsia="Calibri"/>
          <w:bCs/>
          <w:lang w:val="ro-RO" w:eastAsia="en-US"/>
        </w:rPr>
        <w:t>Prezenta decizie poate fi contestată la Judecătoria Bălți (sediul Central, str. Hotinului, nr. 43) în termen de 30 zile de la data publicării, potrivit prevederilor Codului Administrativ al Republicii Moldova nr. 116/2018.</w:t>
      </w:r>
    </w:p>
    <w:p w14:paraId="05B087FC">
      <w:pPr>
        <w:pStyle w:val="16"/>
        <w:tabs>
          <w:tab w:val="left" w:pos="1134"/>
        </w:tabs>
        <w:ind w:left="709"/>
        <w:contextualSpacing/>
        <w:jc w:val="center"/>
        <w:rPr>
          <w:b/>
          <w:sz w:val="22"/>
          <w:szCs w:val="22"/>
          <w:lang w:val="ro-RO"/>
        </w:rPr>
      </w:pPr>
    </w:p>
    <w:p w14:paraId="605D90A2">
      <w:pPr>
        <w:pStyle w:val="16"/>
        <w:tabs>
          <w:tab w:val="left" w:pos="1134"/>
        </w:tabs>
        <w:ind w:left="709"/>
        <w:contextualSpacing/>
        <w:jc w:val="center"/>
        <w:rPr>
          <w:rFonts w:eastAsia="Calibri"/>
          <w:bCs/>
          <w:szCs w:val="22"/>
          <w:lang w:val="ro-RO" w:eastAsia="en-US"/>
        </w:rPr>
      </w:pPr>
      <w:r>
        <w:rPr>
          <w:b/>
          <w:szCs w:val="22"/>
          <w:lang w:val="ro-RO"/>
        </w:rPr>
        <w:t>PREȘEDINTE</w:t>
      </w:r>
    </w:p>
    <w:p w14:paraId="008278A3">
      <w:pPr>
        <w:jc w:val="center"/>
        <w:rPr>
          <w:b/>
          <w:szCs w:val="22"/>
          <w:lang w:val="ro-RO"/>
        </w:rPr>
      </w:pPr>
      <w:r>
        <w:rPr>
          <w:b/>
          <w:szCs w:val="22"/>
          <w:lang w:val="ro-RO"/>
        </w:rPr>
        <w:t xml:space="preserve">          Cristian CAINARIAN</w:t>
      </w:r>
    </w:p>
    <w:p w14:paraId="285ABA44">
      <w:pPr>
        <w:pStyle w:val="16"/>
        <w:tabs>
          <w:tab w:val="left" w:pos="1134"/>
        </w:tabs>
        <w:ind w:left="709"/>
        <w:contextualSpacing/>
        <w:jc w:val="center"/>
        <w:rPr>
          <w:b/>
          <w:szCs w:val="22"/>
          <w:lang w:val="ro-RO"/>
        </w:rPr>
      </w:pPr>
      <w:r>
        <w:rPr>
          <w:b/>
          <w:szCs w:val="22"/>
          <w:lang w:val="ro-RO"/>
        </w:rPr>
        <w:t>______________________</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4360"/>
      </w:tblGrid>
      <w:tr w14:paraId="12D23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1" w:type="dxa"/>
          </w:tcPr>
          <w:p w14:paraId="24879360">
            <w:pPr>
              <w:ind w:left="-284"/>
              <w:jc w:val="center"/>
              <w:rPr>
                <w:b/>
                <w:szCs w:val="22"/>
                <w:lang w:val="pt-PT"/>
              </w:rPr>
            </w:pPr>
          </w:p>
          <w:p w14:paraId="3BA88D42">
            <w:pPr>
              <w:ind w:left="-284"/>
              <w:jc w:val="center"/>
              <w:rPr>
                <w:b/>
                <w:szCs w:val="22"/>
                <w:lang w:val="pt-PT"/>
              </w:rPr>
            </w:pPr>
            <w:r>
              <w:rPr>
                <w:b/>
                <w:szCs w:val="22"/>
                <w:lang w:val="pt-PT"/>
              </w:rPr>
              <w:t>CONTRASEMNEAZĂ</w:t>
            </w:r>
          </w:p>
          <w:p w14:paraId="4C3FF80D">
            <w:pPr>
              <w:ind w:left="-284"/>
              <w:jc w:val="center"/>
              <w:rPr>
                <w:b/>
                <w:szCs w:val="22"/>
                <w:lang w:val="pt-PT"/>
              </w:rPr>
            </w:pPr>
            <w:r>
              <w:rPr>
                <w:b/>
                <w:szCs w:val="22"/>
                <w:lang w:val="pt-PT"/>
              </w:rPr>
              <w:t>Secretară Interimară a Consiliului raional</w:t>
            </w:r>
          </w:p>
          <w:p w14:paraId="4D1BEF6D">
            <w:pPr>
              <w:ind w:left="-284"/>
              <w:jc w:val="center"/>
              <w:rPr>
                <w:b/>
                <w:szCs w:val="22"/>
                <w:lang w:val="en-US"/>
              </w:rPr>
            </w:pPr>
            <w:r>
              <w:rPr>
                <w:b/>
                <w:szCs w:val="22"/>
                <w:lang w:val="en-US"/>
              </w:rPr>
              <w:t>Angela MIHALIUC</w:t>
            </w:r>
          </w:p>
          <w:p w14:paraId="43BD073B">
            <w:pPr>
              <w:ind w:left="-284"/>
              <w:jc w:val="center"/>
              <w:rPr>
                <w:szCs w:val="22"/>
                <w:lang w:val="en-US"/>
              </w:rPr>
            </w:pPr>
            <w:r>
              <w:rPr>
                <w:szCs w:val="22"/>
                <w:lang w:val="en-US"/>
              </w:rPr>
              <w:t>__________________________</w:t>
            </w:r>
          </w:p>
        </w:tc>
        <w:tc>
          <w:tcPr>
            <w:tcW w:w="4360" w:type="dxa"/>
          </w:tcPr>
          <w:p w14:paraId="002D8E97">
            <w:pPr>
              <w:ind w:left="-284"/>
              <w:jc w:val="center"/>
              <w:rPr>
                <w:b/>
                <w:szCs w:val="22"/>
                <w:lang w:val="pt-PT"/>
              </w:rPr>
            </w:pPr>
          </w:p>
          <w:p w14:paraId="45CB4C15">
            <w:pPr>
              <w:ind w:left="-284"/>
              <w:jc w:val="center"/>
              <w:rPr>
                <w:b/>
                <w:szCs w:val="22"/>
                <w:lang w:val="pt-PT"/>
              </w:rPr>
            </w:pPr>
            <w:r>
              <w:rPr>
                <w:b/>
                <w:szCs w:val="22"/>
                <w:lang w:val="pt-PT"/>
              </w:rPr>
              <w:t>COORDONAT</w:t>
            </w:r>
          </w:p>
          <w:p w14:paraId="3D6A69A5">
            <w:pPr>
              <w:jc w:val="center"/>
              <w:rPr>
                <w:b/>
                <w:szCs w:val="22"/>
                <w:lang w:val="en-US"/>
              </w:rPr>
            </w:pPr>
            <w:r>
              <w:rPr>
                <w:b/>
                <w:szCs w:val="22"/>
                <w:lang w:val="en-US"/>
              </w:rPr>
              <w:t>Vicepreședinte al raionului</w:t>
            </w:r>
          </w:p>
          <w:p w14:paraId="6829D4C3">
            <w:pPr>
              <w:jc w:val="center"/>
              <w:rPr>
                <w:b/>
                <w:szCs w:val="22"/>
                <w:lang w:val="en-US"/>
              </w:rPr>
            </w:pPr>
            <w:r>
              <w:rPr>
                <w:b/>
                <w:szCs w:val="22"/>
                <w:lang w:val="en-US"/>
              </w:rPr>
              <w:t>Ivan CEBOTARI</w:t>
            </w:r>
          </w:p>
          <w:p w14:paraId="27D433C1">
            <w:pPr>
              <w:ind w:left="-284"/>
              <w:jc w:val="center"/>
              <w:rPr>
                <w:szCs w:val="22"/>
                <w:lang w:val="pt-PT"/>
              </w:rPr>
            </w:pPr>
            <w:r>
              <w:rPr>
                <w:szCs w:val="22"/>
                <w:lang w:val="pt-PT"/>
              </w:rPr>
              <w:t>____________________</w:t>
            </w:r>
          </w:p>
        </w:tc>
      </w:tr>
      <w:tr w14:paraId="78C6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3" w:hRule="atLeast"/>
        </w:trPr>
        <w:tc>
          <w:tcPr>
            <w:tcW w:w="5211" w:type="dxa"/>
          </w:tcPr>
          <w:p w14:paraId="24A34F12">
            <w:pPr>
              <w:jc w:val="center"/>
              <w:rPr>
                <w:b/>
                <w:szCs w:val="22"/>
                <w:lang w:val="pt-PT"/>
              </w:rPr>
            </w:pPr>
          </w:p>
          <w:p w14:paraId="281D2BAC">
            <w:pPr>
              <w:jc w:val="center"/>
              <w:rPr>
                <w:b/>
                <w:szCs w:val="22"/>
                <w:lang w:val="pt-PT"/>
              </w:rPr>
            </w:pPr>
            <w:r>
              <w:rPr>
                <w:b/>
                <w:szCs w:val="22"/>
                <w:lang w:val="pt-PT"/>
              </w:rPr>
              <w:t>ÎNTOCMIT</w:t>
            </w:r>
          </w:p>
          <w:p w14:paraId="4B0C6B91">
            <w:pPr>
              <w:spacing w:line="259" w:lineRule="auto"/>
              <w:jc w:val="center"/>
              <w:rPr>
                <w:rFonts w:eastAsia="Calibri"/>
                <w:b/>
                <w:bCs/>
                <w:iCs/>
                <w:szCs w:val="22"/>
                <w:lang w:val="pt-PT" w:eastAsia="en-US"/>
              </w:rPr>
            </w:pPr>
            <w:r>
              <w:rPr>
                <w:rFonts w:eastAsia="Calibri"/>
                <w:b/>
                <w:bCs/>
                <w:iCs/>
                <w:szCs w:val="22"/>
                <w:lang w:val="pt-PT" w:eastAsia="en-US"/>
              </w:rPr>
              <w:t xml:space="preserve">Aliona CRĂCIUN </w:t>
            </w:r>
          </w:p>
          <w:p w14:paraId="509E23CA">
            <w:pPr>
              <w:spacing w:line="259" w:lineRule="auto"/>
              <w:jc w:val="center"/>
              <w:rPr>
                <w:b/>
                <w:szCs w:val="22"/>
                <w:lang w:val="ro-RO"/>
              </w:rPr>
            </w:pPr>
            <w:r>
              <w:rPr>
                <w:rFonts w:eastAsia="Calibri"/>
                <w:b/>
                <w:bCs/>
                <w:iCs/>
                <w:szCs w:val="22"/>
                <w:lang w:val="pt-PT" w:eastAsia="en-US"/>
              </w:rPr>
              <w:t xml:space="preserve">persoana care </w:t>
            </w:r>
            <w:r>
              <w:rPr>
                <w:b/>
                <w:szCs w:val="22"/>
                <w:lang w:val="pt-PT"/>
              </w:rPr>
              <w:t xml:space="preserve">exercită temporar </w:t>
            </w:r>
            <w:r>
              <w:rPr>
                <w:b/>
                <w:szCs w:val="22"/>
                <w:lang w:val="ro-RO"/>
              </w:rPr>
              <w:t>atribuțiile funcției de Șef Serviciul Agricultură și Cadastru</w:t>
            </w:r>
          </w:p>
          <w:p w14:paraId="5DCFDB2B">
            <w:pPr>
              <w:ind w:left="-284"/>
              <w:jc w:val="center"/>
              <w:rPr>
                <w:b/>
                <w:szCs w:val="22"/>
                <w:lang w:val="en-US"/>
              </w:rPr>
            </w:pPr>
            <w:r>
              <w:rPr>
                <w:b/>
                <w:szCs w:val="22"/>
                <w:lang w:val="en-US"/>
              </w:rPr>
              <w:t>_________________________</w:t>
            </w:r>
          </w:p>
        </w:tc>
        <w:tc>
          <w:tcPr>
            <w:tcW w:w="4360" w:type="dxa"/>
          </w:tcPr>
          <w:p w14:paraId="0A17E8DA">
            <w:pPr>
              <w:jc w:val="center"/>
              <w:rPr>
                <w:b/>
                <w:szCs w:val="22"/>
                <w:lang w:val="ro-RO"/>
              </w:rPr>
            </w:pPr>
          </w:p>
          <w:p w14:paraId="524C99B5">
            <w:pPr>
              <w:jc w:val="center"/>
              <w:rPr>
                <w:b/>
                <w:szCs w:val="22"/>
                <w:lang w:val="ro-RO"/>
              </w:rPr>
            </w:pPr>
            <w:r>
              <w:rPr>
                <w:b/>
                <w:szCs w:val="22"/>
                <w:lang w:val="ro-RO"/>
              </w:rPr>
              <w:t>COORDONAT</w:t>
            </w:r>
          </w:p>
          <w:p w14:paraId="5FB19C87">
            <w:pPr>
              <w:jc w:val="center"/>
              <w:rPr>
                <w:b/>
                <w:bCs/>
                <w:iCs/>
                <w:szCs w:val="22"/>
                <w:lang w:val="ro-RO"/>
              </w:rPr>
            </w:pPr>
            <w:r>
              <w:rPr>
                <w:b/>
                <w:bCs/>
                <w:iCs/>
                <w:szCs w:val="22"/>
                <w:lang w:val="ro-RO"/>
              </w:rPr>
              <w:t xml:space="preserve">Şefă, </w:t>
            </w:r>
            <w:r>
              <w:rPr>
                <w:rFonts w:eastAsiaTheme="minorHAnsi"/>
                <w:b/>
                <w:bCs/>
                <w:iCs/>
                <w:szCs w:val="22"/>
                <w:lang w:val="pt-PT" w:eastAsia="en-US"/>
              </w:rPr>
              <w:t>Secția Juridică și  Resurse Umane</w:t>
            </w:r>
          </w:p>
          <w:p w14:paraId="3BCED6D6">
            <w:pPr>
              <w:spacing w:line="259" w:lineRule="auto"/>
              <w:jc w:val="center"/>
              <w:rPr>
                <w:rFonts w:eastAsiaTheme="minorHAnsi"/>
                <w:b/>
                <w:szCs w:val="22"/>
                <w:lang w:val="en-US" w:eastAsia="en-US"/>
              </w:rPr>
            </w:pPr>
            <w:r>
              <w:rPr>
                <w:rFonts w:eastAsiaTheme="minorHAnsi"/>
                <w:b/>
                <w:szCs w:val="22"/>
                <w:lang w:val="en-US" w:eastAsia="en-US"/>
              </w:rPr>
              <w:t>Oxana TABARCEA</w:t>
            </w:r>
          </w:p>
          <w:p w14:paraId="0914A9E2">
            <w:pPr>
              <w:ind w:left="-284"/>
              <w:jc w:val="center"/>
              <w:rPr>
                <w:b/>
                <w:szCs w:val="22"/>
                <w:lang w:val="en-US"/>
              </w:rPr>
            </w:pPr>
            <w:r>
              <w:rPr>
                <w:rFonts w:eastAsiaTheme="minorHAnsi"/>
                <w:b/>
                <w:szCs w:val="22"/>
                <w:lang w:val="en-US" w:eastAsia="en-US"/>
              </w:rPr>
              <w:t>_____________________</w:t>
            </w:r>
          </w:p>
        </w:tc>
      </w:tr>
    </w:tbl>
    <w:p w14:paraId="60855B6C">
      <w:pPr>
        <w:jc w:val="right"/>
        <w:rPr>
          <w:bCs/>
          <w:iCs/>
          <w:sz w:val="18"/>
          <w:szCs w:val="18"/>
          <w:lang w:val="ro-RO"/>
        </w:rPr>
      </w:pPr>
      <w:r>
        <w:rPr>
          <w:bCs/>
          <w:iCs/>
          <w:sz w:val="20"/>
          <w:szCs w:val="20"/>
          <w:lang w:val="ro-RO"/>
        </w:rPr>
        <w:t xml:space="preserve">                                      </w:t>
      </w:r>
      <w:r>
        <w:rPr>
          <w:bCs/>
          <w:iCs/>
          <w:sz w:val="18"/>
          <w:szCs w:val="18"/>
          <w:lang w:val="ro-RO"/>
        </w:rPr>
        <w:t xml:space="preserve">                                                                                                                                                                                                         </w:t>
      </w:r>
    </w:p>
    <w:sectPr>
      <w:pgSz w:w="11906" w:h="16838"/>
      <w:pgMar w:top="737" w:right="851" w:bottom="567"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Times New Roma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B76F2"/>
    <w:multiLevelType w:val="multilevel"/>
    <w:tmpl w:val="048B76F2"/>
    <w:lvl w:ilvl="0" w:tentative="0">
      <w:start w:val="1"/>
      <w:numFmt w:val="decimal"/>
      <w:lvlText w:val="%1."/>
      <w:lvlJc w:val="left"/>
      <w:pPr>
        <w:ind w:left="720" w:hanging="360"/>
      </w:pPr>
      <w:rPr>
        <w:rFonts w:ascii="Times New Roman" w:hAnsi="Times New Roman" w:eastAsia="Times New Roman" w:cs="Times New Roman"/>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8D855AE"/>
    <w:multiLevelType w:val="multilevel"/>
    <w:tmpl w:val="48D855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683B5ACF"/>
    <w:multiLevelType w:val="multilevel"/>
    <w:tmpl w:val="683B5ACF"/>
    <w:lvl w:ilvl="0" w:tentative="0">
      <w:start w:val="1"/>
      <w:numFmt w:val="decimal"/>
      <w:lvlText w:val="(%1)"/>
      <w:lvlJc w:val="left"/>
      <w:pPr>
        <w:tabs>
          <w:tab w:val="left" w:pos="780"/>
        </w:tabs>
        <w:ind w:left="780" w:hanging="420"/>
      </w:pPr>
      <w:rPr>
        <w:rFonts w:hint="default"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2AF"/>
    <w:rsid w:val="00032A4E"/>
    <w:rsid w:val="0005450F"/>
    <w:rsid w:val="00064B8E"/>
    <w:rsid w:val="00092784"/>
    <w:rsid w:val="000A6BD1"/>
    <w:rsid w:val="000E3330"/>
    <w:rsid w:val="001162B2"/>
    <w:rsid w:val="00122572"/>
    <w:rsid w:val="00140E58"/>
    <w:rsid w:val="00154D52"/>
    <w:rsid w:val="001879AE"/>
    <w:rsid w:val="00224BDB"/>
    <w:rsid w:val="00233A52"/>
    <w:rsid w:val="002516A1"/>
    <w:rsid w:val="0026576A"/>
    <w:rsid w:val="00272DF0"/>
    <w:rsid w:val="00277C71"/>
    <w:rsid w:val="002A77B2"/>
    <w:rsid w:val="0036099A"/>
    <w:rsid w:val="00367B30"/>
    <w:rsid w:val="00375C68"/>
    <w:rsid w:val="003A3718"/>
    <w:rsid w:val="003B19BC"/>
    <w:rsid w:val="003D3AAC"/>
    <w:rsid w:val="003E44F6"/>
    <w:rsid w:val="00407252"/>
    <w:rsid w:val="004427D6"/>
    <w:rsid w:val="0045468E"/>
    <w:rsid w:val="004A618F"/>
    <w:rsid w:val="004A7D1A"/>
    <w:rsid w:val="004B3547"/>
    <w:rsid w:val="004D2DE1"/>
    <w:rsid w:val="004E2DEF"/>
    <w:rsid w:val="004F1E64"/>
    <w:rsid w:val="00526085"/>
    <w:rsid w:val="00530CB8"/>
    <w:rsid w:val="005431DB"/>
    <w:rsid w:val="005654FD"/>
    <w:rsid w:val="0057726C"/>
    <w:rsid w:val="005E328C"/>
    <w:rsid w:val="005E4046"/>
    <w:rsid w:val="006371A4"/>
    <w:rsid w:val="00644727"/>
    <w:rsid w:val="00650AB7"/>
    <w:rsid w:val="00686B09"/>
    <w:rsid w:val="006B29D4"/>
    <w:rsid w:val="006C3E10"/>
    <w:rsid w:val="006E3E61"/>
    <w:rsid w:val="006E7975"/>
    <w:rsid w:val="0070207F"/>
    <w:rsid w:val="0072273A"/>
    <w:rsid w:val="007528F0"/>
    <w:rsid w:val="0079246B"/>
    <w:rsid w:val="00793D29"/>
    <w:rsid w:val="007C0ECF"/>
    <w:rsid w:val="007D142F"/>
    <w:rsid w:val="007D71DD"/>
    <w:rsid w:val="007F3E4E"/>
    <w:rsid w:val="00805331"/>
    <w:rsid w:val="008118A0"/>
    <w:rsid w:val="00813AC6"/>
    <w:rsid w:val="00830BAF"/>
    <w:rsid w:val="00836067"/>
    <w:rsid w:val="00837AE5"/>
    <w:rsid w:val="008A6F15"/>
    <w:rsid w:val="008A7F5B"/>
    <w:rsid w:val="008E4095"/>
    <w:rsid w:val="00956519"/>
    <w:rsid w:val="00970196"/>
    <w:rsid w:val="009A0F17"/>
    <w:rsid w:val="009A580C"/>
    <w:rsid w:val="009B4E2B"/>
    <w:rsid w:val="009C3E09"/>
    <w:rsid w:val="009F06BC"/>
    <w:rsid w:val="009F6E47"/>
    <w:rsid w:val="00A21EEA"/>
    <w:rsid w:val="00A41698"/>
    <w:rsid w:val="00A4477C"/>
    <w:rsid w:val="00A86A51"/>
    <w:rsid w:val="00AA107F"/>
    <w:rsid w:val="00AB00FF"/>
    <w:rsid w:val="00AB0AD8"/>
    <w:rsid w:val="00AB3461"/>
    <w:rsid w:val="00AE28C7"/>
    <w:rsid w:val="00B50A5D"/>
    <w:rsid w:val="00B81A5F"/>
    <w:rsid w:val="00B913F5"/>
    <w:rsid w:val="00C60267"/>
    <w:rsid w:val="00C77B12"/>
    <w:rsid w:val="00C84EBF"/>
    <w:rsid w:val="00C872AF"/>
    <w:rsid w:val="00CB5BDB"/>
    <w:rsid w:val="00CB7E79"/>
    <w:rsid w:val="00CC044E"/>
    <w:rsid w:val="00CD696B"/>
    <w:rsid w:val="00CE01E6"/>
    <w:rsid w:val="00D135FC"/>
    <w:rsid w:val="00D27FE5"/>
    <w:rsid w:val="00D41052"/>
    <w:rsid w:val="00D74AEA"/>
    <w:rsid w:val="00D92695"/>
    <w:rsid w:val="00DB5664"/>
    <w:rsid w:val="00E06F3D"/>
    <w:rsid w:val="00E40681"/>
    <w:rsid w:val="00E77534"/>
    <w:rsid w:val="00E77D15"/>
    <w:rsid w:val="00E825D1"/>
    <w:rsid w:val="00E85DBF"/>
    <w:rsid w:val="00E974B8"/>
    <w:rsid w:val="00F1116E"/>
    <w:rsid w:val="00F40740"/>
    <w:rsid w:val="00F62677"/>
    <w:rsid w:val="00FD04D9"/>
    <w:rsid w:val="00FD58CF"/>
    <w:rsid w:val="00FE1B6B"/>
    <w:rsid w:val="00FE7819"/>
    <w:rsid w:val="63D116F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next w:val="1"/>
    <w:link w:val="13"/>
    <w:qFormat/>
    <w:uiPriority w:val="0"/>
    <w:pPr>
      <w:keepNext/>
      <w:outlineLvl w:val="0"/>
    </w:pPr>
    <w:rPr>
      <w:b/>
      <w:sz w:val="28"/>
      <w:szCs w:val="20"/>
      <w:lang w:val="en-US"/>
    </w:rPr>
  </w:style>
  <w:style w:type="paragraph" w:styleId="3">
    <w:name w:val="heading 4"/>
    <w:basedOn w:val="1"/>
    <w:next w:val="1"/>
    <w:link w:val="14"/>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4">
    <w:name w:val="heading 8"/>
    <w:basedOn w:val="1"/>
    <w:next w:val="1"/>
    <w:link w:val="15"/>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default="1" w:styleId="5">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Strong"/>
    <w:basedOn w:val="5"/>
    <w:qFormat/>
    <w:uiPriority w:val="22"/>
    <w:rPr>
      <w:b/>
      <w:bCs/>
    </w:rPr>
  </w:style>
  <w:style w:type="paragraph" w:styleId="8">
    <w:name w:val="Balloon Text"/>
    <w:basedOn w:val="1"/>
    <w:link w:val="20"/>
    <w:semiHidden/>
    <w:unhideWhenUsed/>
    <w:uiPriority w:val="99"/>
    <w:rPr>
      <w:rFonts w:ascii="Tahoma" w:hAnsi="Tahoma" w:cs="Tahoma"/>
      <w:sz w:val="16"/>
      <w:szCs w:val="16"/>
    </w:rPr>
  </w:style>
  <w:style w:type="paragraph" w:styleId="9">
    <w:name w:val="Body Text 2"/>
    <w:basedOn w:val="1"/>
    <w:link w:val="18"/>
    <w:uiPriority w:val="0"/>
    <w:pPr>
      <w:spacing w:after="120" w:line="480" w:lineRule="auto"/>
    </w:pPr>
  </w:style>
  <w:style w:type="paragraph" w:styleId="10">
    <w:name w:val="Body Text"/>
    <w:basedOn w:val="1"/>
    <w:link w:val="19"/>
    <w:unhideWhenUsed/>
    <w:uiPriority w:val="99"/>
    <w:pPr>
      <w:spacing w:after="120"/>
    </w:pPr>
  </w:style>
  <w:style w:type="paragraph" w:styleId="11">
    <w:name w:val="Normal (Web)"/>
    <w:basedOn w:val="1"/>
    <w:unhideWhenUsed/>
    <w:uiPriority w:val="99"/>
    <w:pPr>
      <w:spacing w:before="100" w:beforeAutospacing="1" w:after="100" w:afterAutospacing="1"/>
    </w:pPr>
  </w:style>
  <w:style w:type="table" w:styleId="12">
    <w:name w:val="Table Grid"/>
    <w:basedOn w:val="6"/>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3">
    <w:name w:val="Заголовок 1 Знак"/>
    <w:basedOn w:val="5"/>
    <w:link w:val="2"/>
    <w:qFormat/>
    <w:uiPriority w:val="0"/>
    <w:rPr>
      <w:rFonts w:ascii="Times New Roman" w:hAnsi="Times New Roman" w:eastAsia="Times New Roman" w:cs="Times New Roman"/>
      <w:b/>
      <w:sz w:val="28"/>
      <w:szCs w:val="20"/>
      <w:lang w:val="en-US" w:eastAsia="ru-RU"/>
    </w:rPr>
  </w:style>
  <w:style w:type="character" w:customStyle="1" w:styleId="14">
    <w:name w:val="Заголовок 4 Знак"/>
    <w:basedOn w:val="5"/>
    <w:link w:val="3"/>
    <w:qFormat/>
    <w:uiPriority w:val="9"/>
    <w:rPr>
      <w:rFonts w:asciiTheme="majorHAnsi" w:hAnsiTheme="majorHAnsi" w:eastAsiaTheme="majorEastAsia" w:cstheme="majorBidi"/>
      <w:b/>
      <w:bCs/>
      <w:i/>
      <w:iCs/>
      <w:color w:val="4F81BD" w:themeColor="accent1"/>
      <w:sz w:val="24"/>
      <w:szCs w:val="24"/>
      <w:lang w:eastAsia="ru-RU"/>
      <w14:textFill>
        <w14:solidFill>
          <w14:schemeClr w14:val="accent1"/>
        </w14:solidFill>
      </w14:textFill>
    </w:rPr>
  </w:style>
  <w:style w:type="character" w:customStyle="1" w:styleId="15">
    <w:name w:val="Заголовок 8 Знак"/>
    <w:basedOn w:val="5"/>
    <w:link w:val="4"/>
    <w:qFormat/>
    <w:uiPriority w:val="9"/>
    <w:rPr>
      <w:rFonts w:asciiTheme="majorHAnsi" w:hAnsiTheme="majorHAnsi" w:eastAsiaTheme="majorEastAsia" w:cstheme="majorBidi"/>
      <w:color w:val="404040" w:themeColor="text1" w:themeTint="BF"/>
      <w:sz w:val="20"/>
      <w:szCs w:val="20"/>
      <w:lang w:eastAsia="ru-RU"/>
      <w14:textFill>
        <w14:solidFill>
          <w14:schemeClr w14:val="tx1">
            <w14:lumMod w14:val="75000"/>
            <w14:lumOff w14:val="25000"/>
          </w14:schemeClr>
        </w14:solidFill>
      </w14:textFill>
    </w:rPr>
  </w:style>
  <w:style w:type="paragraph" w:styleId="16">
    <w:name w:val="List Paragraph"/>
    <w:basedOn w:val="1"/>
    <w:link w:val="21"/>
    <w:qFormat/>
    <w:uiPriority w:val="34"/>
    <w:pPr>
      <w:ind w:left="708"/>
    </w:pPr>
  </w:style>
  <w:style w:type="paragraph" w:styleId="1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8">
    <w:name w:val="Основной текст 2 Знак"/>
    <w:basedOn w:val="5"/>
    <w:link w:val="9"/>
    <w:uiPriority w:val="0"/>
    <w:rPr>
      <w:rFonts w:ascii="Times New Roman" w:hAnsi="Times New Roman" w:eastAsia="Times New Roman" w:cs="Times New Roman"/>
      <w:sz w:val="24"/>
      <w:szCs w:val="24"/>
      <w:lang w:eastAsia="ru-RU"/>
    </w:rPr>
  </w:style>
  <w:style w:type="character" w:customStyle="1" w:styleId="19">
    <w:name w:val="Основной текст Знак"/>
    <w:basedOn w:val="5"/>
    <w:link w:val="10"/>
    <w:uiPriority w:val="99"/>
    <w:rPr>
      <w:rFonts w:ascii="Times New Roman" w:hAnsi="Times New Roman" w:eastAsia="Times New Roman" w:cs="Times New Roman"/>
      <w:sz w:val="24"/>
      <w:szCs w:val="24"/>
      <w:lang w:eastAsia="ru-RU"/>
    </w:rPr>
  </w:style>
  <w:style w:type="character" w:customStyle="1" w:styleId="20">
    <w:name w:val="Текст выноски Знак"/>
    <w:basedOn w:val="5"/>
    <w:link w:val="8"/>
    <w:semiHidden/>
    <w:uiPriority w:val="99"/>
    <w:rPr>
      <w:rFonts w:ascii="Tahoma" w:hAnsi="Tahoma" w:eastAsia="Times New Roman" w:cs="Tahoma"/>
      <w:sz w:val="16"/>
      <w:szCs w:val="16"/>
      <w:lang w:eastAsia="ru-RU"/>
    </w:rPr>
  </w:style>
  <w:style w:type="character" w:customStyle="1" w:styleId="21">
    <w:name w:val="Абзац списка Знак"/>
    <w:basedOn w:val="5"/>
    <w:link w:val="16"/>
    <w:locked/>
    <w:uiPriority w:val="34"/>
    <w:rPr>
      <w:rFonts w:ascii="Times New Roman" w:hAnsi="Times New Roman" w:eastAsia="Times New Roman" w:cs="Times New Roman"/>
      <w:sz w:val="24"/>
      <w:szCs w:val="24"/>
      <w:lang w:eastAsia="ru-RU"/>
    </w:rPr>
  </w:style>
  <w:style w:type="character" w:customStyle="1" w:styleId="22">
    <w:name w:val="Font Style26"/>
    <w:basedOn w:val="5"/>
    <w:uiPriority w:val="0"/>
    <w:rPr>
      <w:rFonts w:ascii="Times New Roman" w:hAnsi="Times New Roman" w:cs="Times New Roman"/>
      <w:sz w:val="26"/>
      <w:szCs w:val="26"/>
    </w:rPr>
  </w:style>
  <w:style w:type="character" w:customStyle="1" w:styleId="23">
    <w:name w:val="whitespace-normal"/>
    <w:basedOn w:val="5"/>
    <w:uiPriority w:val="0"/>
  </w:style>
  <w:style w:type="paragraph" w:customStyle="1" w:styleId="24">
    <w:name w:val="isselectedend"/>
    <w:basedOn w:val="1"/>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1076</Words>
  <Characters>7031</Characters>
  <Lines>63</Lines>
  <Paragraphs>17</Paragraphs>
  <TotalTime>375</TotalTime>
  <ScaleCrop>false</ScaleCrop>
  <LinksUpToDate>false</LinksUpToDate>
  <CharactersWithSpaces>8737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2026-05-26T10:57:00Z</dcterms:created>
  <dc:creator>catea</dc:creator>
  <cp:lastModifiedBy>Iulian Erimei</cp:lastModifiedBy>
  <cp:lastPrinted>2026-09-15T13:13:00Z</cp:lastPrinted>
  <dcterms:modified xsi:type="dcterms:W3CDTF">2026-09-15T14:06:29Z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8337C212F20E4D64AB92B85B2602D7B3_13</vt:lpwstr>
  </property>
</Properties>
</file>