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bottomFromText="200" w:vertAnchor="text" w:horzAnchor="margin" w:tblpXSpec="center" w:tblpY="193"/>
        <w:tblW w:w="10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86"/>
        <w:gridCol w:w="1781"/>
        <w:gridCol w:w="4313"/>
      </w:tblGrid>
      <w:tr w:rsidR="00292A8B" w:rsidTr="009D53F1">
        <w:trPr>
          <w:trHeight w:val="1273"/>
        </w:trPr>
        <w:tc>
          <w:tcPr>
            <w:tcW w:w="408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292A8B" w:rsidRDefault="00B431B3">
            <w:pPr>
              <w:keepNext/>
              <w:spacing w:line="276" w:lineRule="auto"/>
              <w:jc w:val="center"/>
              <w:outlineLvl w:val="0"/>
              <w:rPr>
                <w:b/>
                <w:szCs w:val="20"/>
                <w:lang w:val="ro-RO"/>
              </w:rPr>
            </w:pPr>
            <w:r>
              <w:rPr>
                <w:b/>
                <w:szCs w:val="20"/>
                <w:lang w:val="ro-RO"/>
              </w:rPr>
              <w:t>REPUBLICA  MOLDOVA</w:t>
            </w:r>
          </w:p>
          <w:p w:rsidR="00292A8B" w:rsidRDefault="00292A8B">
            <w:pPr>
              <w:keepNext/>
              <w:spacing w:line="276" w:lineRule="auto"/>
              <w:jc w:val="center"/>
              <w:outlineLvl w:val="0"/>
              <w:rPr>
                <w:b/>
                <w:sz w:val="16"/>
                <w:szCs w:val="16"/>
                <w:lang w:val="ro-RO"/>
              </w:rPr>
            </w:pPr>
          </w:p>
          <w:p w:rsidR="00292A8B" w:rsidRDefault="00B431B3">
            <w:pPr>
              <w:keepNext/>
              <w:spacing w:line="276" w:lineRule="auto"/>
              <w:jc w:val="center"/>
              <w:outlineLvl w:val="0"/>
              <w:rPr>
                <w:b/>
                <w:szCs w:val="20"/>
                <w:lang w:val="ro-RO"/>
              </w:rPr>
            </w:pPr>
            <w:r>
              <w:rPr>
                <w:b/>
                <w:szCs w:val="20"/>
                <w:lang w:val="ro-RO"/>
              </w:rPr>
              <w:t>CONSILIUL  RAIONAL</w:t>
            </w:r>
          </w:p>
          <w:p w:rsidR="00292A8B" w:rsidRDefault="00B431B3">
            <w:pPr>
              <w:spacing w:line="276" w:lineRule="auto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S</w:t>
            </w:r>
            <w:r>
              <w:rPr>
                <w:b/>
                <w:lang w:val="ro-RO"/>
              </w:rPr>
              <w:t>ÎNGEREI</w:t>
            </w:r>
          </w:p>
        </w:tc>
        <w:tc>
          <w:tcPr>
            <w:tcW w:w="178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292A8B" w:rsidRDefault="00B431B3">
            <w:pPr>
              <w:spacing w:line="276" w:lineRule="auto"/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noProof/>
              </w:rPr>
              <w:drawing>
                <wp:inline distT="0" distB="0" distL="0" distR="0">
                  <wp:extent cx="647700" cy="828675"/>
                  <wp:effectExtent l="0" t="0" r="0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3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292A8B" w:rsidRDefault="00B431B3">
            <w:pPr>
              <w:keepNext/>
              <w:spacing w:line="276" w:lineRule="auto"/>
              <w:jc w:val="center"/>
              <w:outlineLvl w:val="0"/>
              <w:rPr>
                <w:b/>
                <w:szCs w:val="20"/>
              </w:rPr>
            </w:pPr>
            <w:r>
              <w:rPr>
                <w:b/>
                <w:szCs w:val="20"/>
              </w:rPr>
              <w:t>РЕСПУБЛИКА МОЛДОВА</w:t>
            </w:r>
          </w:p>
          <w:p w:rsidR="00292A8B" w:rsidRDefault="00292A8B">
            <w:pPr>
              <w:spacing w:line="276" w:lineRule="auto"/>
              <w:jc w:val="center"/>
              <w:rPr>
                <w:b/>
                <w:sz w:val="16"/>
                <w:szCs w:val="16"/>
                <w:lang w:val="ro-RO"/>
              </w:rPr>
            </w:pPr>
          </w:p>
          <w:p w:rsidR="00292A8B" w:rsidRDefault="00B431B3">
            <w:pPr>
              <w:spacing w:line="276" w:lineRule="auto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СЫНДЖЕРЕЙСКИЙ</w:t>
            </w:r>
          </w:p>
          <w:p w:rsidR="00292A8B" w:rsidRDefault="00B431B3">
            <w:pPr>
              <w:spacing w:line="276" w:lineRule="auto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РАЙОННЫЙ СОВЕТ</w:t>
            </w:r>
          </w:p>
        </w:tc>
      </w:tr>
    </w:tbl>
    <w:p w:rsidR="009D53F1" w:rsidRPr="009D53F1" w:rsidRDefault="009D53F1" w:rsidP="009D53F1">
      <w:pPr>
        <w:jc w:val="right"/>
        <w:rPr>
          <w:b/>
          <w:lang w:val="ro-RO"/>
        </w:rPr>
      </w:pPr>
      <w:r>
        <w:rPr>
          <w:b/>
          <w:lang w:val="ro-RO"/>
        </w:rPr>
        <w:t>EXTRAS</w:t>
      </w:r>
    </w:p>
    <w:p w:rsidR="00292A8B" w:rsidRDefault="00B431B3">
      <w:pPr>
        <w:jc w:val="center"/>
        <w:rPr>
          <w:b/>
          <w:lang w:val="en-US"/>
        </w:rPr>
      </w:pPr>
      <w:r>
        <w:rPr>
          <w:b/>
          <w:lang w:val="en-US"/>
        </w:rPr>
        <w:t xml:space="preserve">DECIZIE Nr. </w:t>
      </w:r>
      <w:r w:rsidR="00F60A5E">
        <w:rPr>
          <w:b/>
          <w:lang w:val="en-US"/>
        </w:rPr>
        <w:t>4</w:t>
      </w:r>
      <w:r>
        <w:rPr>
          <w:b/>
          <w:lang w:val="en-US"/>
        </w:rPr>
        <w:t>/</w:t>
      </w:r>
      <w:r w:rsidR="00162BE8">
        <w:rPr>
          <w:b/>
          <w:lang w:val="en-US"/>
        </w:rPr>
        <w:t>4</w:t>
      </w:r>
      <w:r w:rsidR="0097306A">
        <w:rPr>
          <w:b/>
          <w:lang w:val="en-US"/>
        </w:rPr>
        <w:t>2</w:t>
      </w:r>
    </w:p>
    <w:p w:rsidR="00292A8B" w:rsidRDefault="00B431B3">
      <w:pPr>
        <w:jc w:val="center"/>
        <w:rPr>
          <w:b/>
          <w:lang w:val="en-US"/>
        </w:rPr>
      </w:pPr>
      <w:r>
        <w:rPr>
          <w:b/>
          <w:lang w:val="en-US"/>
        </w:rPr>
        <w:t xml:space="preserve">din </w:t>
      </w:r>
      <w:r w:rsidR="00F60A5E">
        <w:rPr>
          <w:b/>
          <w:lang w:val="en-US"/>
        </w:rPr>
        <w:t>30</w:t>
      </w:r>
      <w:r>
        <w:rPr>
          <w:b/>
          <w:lang w:val="en-US"/>
        </w:rPr>
        <w:t xml:space="preserve"> </w:t>
      </w:r>
      <w:r w:rsidR="00F60A5E">
        <w:rPr>
          <w:b/>
          <w:lang w:val="en-US"/>
        </w:rPr>
        <w:t>septembrie</w:t>
      </w:r>
      <w:r>
        <w:rPr>
          <w:b/>
          <w:lang w:val="en-US"/>
        </w:rPr>
        <w:t xml:space="preserve"> 2026</w:t>
      </w:r>
    </w:p>
    <w:p w:rsidR="00292A8B" w:rsidRDefault="00B431B3">
      <w:pPr>
        <w:jc w:val="center"/>
        <w:rPr>
          <w:b/>
          <w:lang w:val="en-US"/>
        </w:rPr>
      </w:pPr>
      <w:r>
        <w:rPr>
          <w:b/>
          <w:lang w:val="en-US"/>
        </w:rPr>
        <w:t>or. Sîngerei</w:t>
      </w:r>
    </w:p>
    <w:p w:rsidR="00292A8B" w:rsidRDefault="00B431B3">
      <w:pPr>
        <w:tabs>
          <w:tab w:val="left" w:pos="709"/>
        </w:tabs>
        <w:jc w:val="both"/>
        <w:rPr>
          <w:sz w:val="20"/>
          <w:lang w:val="ro-RO"/>
        </w:rPr>
      </w:pPr>
      <w:r>
        <w:rPr>
          <w:sz w:val="20"/>
          <w:lang w:val="ro-RO"/>
        </w:rPr>
        <w:tab/>
      </w:r>
    </w:p>
    <w:p w:rsidR="00162BE8" w:rsidRPr="00162BE8" w:rsidRDefault="00162BE8" w:rsidP="00162BE8">
      <w:pPr>
        <w:jc w:val="both"/>
        <w:rPr>
          <w:b/>
          <w:lang w:val="en-US"/>
        </w:rPr>
      </w:pPr>
      <w:r w:rsidRPr="00162BE8">
        <w:rPr>
          <w:b/>
          <w:lang w:val="en-US"/>
        </w:rPr>
        <w:t>Cu privire la modificarea modului de organizare a Casei Raionale de Cultură</w:t>
      </w:r>
    </w:p>
    <w:p w:rsidR="00162BE8" w:rsidRPr="00162BE8" w:rsidRDefault="00162BE8" w:rsidP="00162BE8">
      <w:pPr>
        <w:jc w:val="both"/>
        <w:rPr>
          <w:b/>
          <w:kern w:val="16"/>
          <w:lang w:val="ro-RO"/>
        </w:rPr>
      </w:pPr>
      <w:r w:rsidRPr="00162BE8">
        <w:rPr>
          <w:b/>
          <w:lang w:val="en-US"/>
        </w:rPr>
        <w:t>,,Nicolae Iorga” din or. Sîngerei și stabilirea tipului acesteia - Palat de Cultură</w:t>
      </w:r>
    </w:p>
    <w:p w:rsidR="00162BE8" w:rsidRPr="00162BE8" w:rsidRDefault="00162BE8" w:rsidP="00162BE8">
      <w:pPr>
        <w:spacing w:line="276" w:lineRule="auto"/>
        <w:jc w:val="both"/>
        <w:rPr>
          <w:lang w:val="ro-RO"/>
        </w:rPr>
      </w:pPr>
    </w:p>
    <w:p w:rsidR="00162BE8" w:rsidRPr="00162BE8" w:rsidRDefault="00162BE8" w:rsidP="00162BE8">
      <w:pPr>
        <w:spacing w:line="276" w:lineRule="auto"/>
        <w:ind w:firstLine="602"/>
        <w:jc w:val="both"/>
        <w:rPr>
          <w:lang w:val="en-US"/>
        </w:rPr>
      </w:pPr>
      <w:r w:rsidRPr="00162BE8">
        <w:rPr>
          <w:lang w:val="en-US"/>
        </w:rPr>
        <w:t>Având în vedere: Nota de fundamentare cu privire la modificarea modului de organizare a Casei Raionale de Cultură „Nicolae Iorga” din or. Sîngerei și stabilirea tipului acesteia - Palat de Cultură;</w:t>
      </w:r>
    </w:p>
    <w:p w:rsidR="00162BE8" w:rsidRPr="00162BE8" w:rsidRDefault="00162BE8" w:rsidP="00162BE8">
      <w:pPr>
        <w:spacing w:line="276" w:lineRule="auto"/>
        <w:ind w:firstLine="602"/>
        <w:jc w:val="both"/>
        <w:rPr>
          <w:lang w:val="en-US"/>
        </w:rPr>
      </w:pPr>
      <w:r w:rsidRPr="00162BE8">
        <w:rPr>
          <w:lang w:val="en-US"/>
        </w:rPr>
        <w:t>În temeiul art. 43 alin. (1) lit. r) și art. 46 din Legea nr. 436/2006 privind administrația publică locală, art. 19 alin. (2¹) din Legea culturii nr. 413/1999, Legea 100/2017 cu privire la actele normative, pct. 3, pct. 6, pct. 10 și pct. 15¹ din Regulamentul de organizare și funcționare a casei de cultură, aprobat prin Hotărârea Guvernului nr. 83/2023, cu modificările ulterioare, Decizia nr. 7/10 din 26 septembrie 2024 „Cu privire la aprobarea structurii și efectivului-limită ale Secției Cultură” și având în vedere necesitatea conformării modului de organizare și funcționare a Casei raionale de Cultură „Nicolae Iorga” din or. Sîngerei cu prevederilor cadrului normativ în vigoare,</w:t>
      </w:r>
    </w:p>
    <w:p w:rsidR="00162BE8" w:rsidRPr="00162BE8" w:rsidRDefault="00162BE8" w:rsidP="00162BE8">
      <w:pPr>
        <w:spacing w:line="276" w:lineRule="auto"/>
        <w:ind w:firstLine="602"/>
        <w:jc w:val="both"/>
        <w:rPr>
          <w:b/>
          <w:lang w:val="en-US"/>
        </w:rPr>
      </w:pPr>
      <w:r w:rsidRPr="00162BE8">
        <w:rPr>
          <w:b/>
          <w:lang w:val="en-US"/>
        </w:rPr>
        <w:t>Consiliul raional,</w:t>
      </w:r>
    </w:p>
    <w:p w:rsidR="00162BE8" w:rsidRPr="00162BE8" w:rsidRDefault="00162BE8" w:rsidP="009D53F1">
      <w:pPr>
        <w:spacing w:line="276" w:lineRule="auto"/>
        <w:jc w:val="center"/>
        <w:rPr>
          <w:b/>
          <w:lang w:val="it-IT"/>
        </w:rPr>
      </w:pPr>
      <w:r w:rsidRPr="00162BE8">
        <w:rPr>
          <w:b/>
          <w:lang w:val="it-IT"/>
        </w:rPr>
        <w:t>D E C I D E:</w:t>
      </w:r>
    </w:p>
    <w:p w:rsidR="00162BE8" w:rsidRPr="00162BE8" w:rsidRDefault="00162BE8" w:rsidP="00162BE8">
      <w:pPr>
        <w:numPr>
          <w:ilvl w:val="0"/>
          <w:numId w:val="7"/>
        </w:numPr>
        <w:tabs>
          <w:tab w:val="left" w:pos="709"/>
          <w:tab w:val="left" w:pos="851"/>
        </w:tabs>
        <w:spacing w:line="276" w:lineRule="auto"/>
        <w:ind w:left="0" w:firstLine="602"/>
        <w:contextualSpacing/>
        <w:jc w:val="both"/>
        <w:rPr>
          <w:lang w:val="en-US"/>
        </w:rPr>
      </w:pPr>
      <w:r w:rsidRPr="00162BE8">
        <w:rPr>
          <w:lang w:val="en-US"/>
        </w:rPr>
        <w:t>Se modifică modul de organizare a Casei raionale de Cultură „Nicolae Iorga” din or. Sîngerei, prin stabilirea tipului acesteia – Palat de cultură, fără personalitate juridică.</w:t>
      </w:r>
    </w:p>
    <w:p w:rsidR="00162BE8" w:rsidRPr="00162BE8" w:rsidRDefault="00162BE8" w:rsidP="00162BE8">
      <w:pPr>
        <w:numPr>
          <w:ilvl w:val="0"/>
          <w:numId w:val="7"/>
        </w:numPr>
        <w:tabs>
          <w:tab w:val="left" w:pos="709"/>
          <w:tab w:val="left" w:pos="851"/>
        </w:tabs>
        <w:spacing w:line="276" w:lineRule="auto"/>
        <w:ind w:left="0" w:firstLine="602"/>
        <w:contextualSpacing/>
        <w:jc w:val="both"/>
        <w:rPr>
          <w:lang w:val="en-US"/>
        </w:rPr>
      </w:pPr>
      <w:r w:rsidRPr="00162BE8">
        <w:rPr>
          <w:lang w:val="en-US"/>
        </w:rPr>
        <w:t>Se modifică denumirea Casei raionale de Cultură „Nicolae Iorga” din or. Sîngerei în „Palat de Cultură „Nicolae Iorga” din or. Sîngerei”.</w:t>
      </w:r>
    </w:p>
    <w:p w:rsidR="00162BE8" w:rsidRPr="00162BE8" w:rsidRDefault="00162BE8" w:rsidP="00162BE8">
      <w:pPr>
        <w:numPr>
          <w:ilvl w:val="0"/>
          <w:numId w:val="7"/>
        </w:numPr>
        <w:tabs>
          <w:tab w:val="left" w:pos="709"/>
          <w:tab w:val="left" w:pos="851"/>
        </w:tabs>
        <w:spacing w:line="276" w:lineRule="auto"/>
        <w:ind w:left="0" w:firstLine="602"/>
        <w:contextualSpacing/>
        <w:jc w:val="both"/>
        <w:rPr>
          <w:lang w:val="en-US"/>
        </w:rPr>
      </w:pPr>
      <w:r w:rsidRPr="00162BE8">
        <w:rPr>
          <w:lang w:val="en-US"/>
        </w:rPr>
        <w:t>Se aprobă Regulamentul de organizare și funcționare al Palatului de Cultură „Nicolae Iorga” din or. Sîngerei, conform Anexei nr. 1, parte integrantă a prezentei decizii.</w:t>
      </w:r>
    </w:p>
    <w:p w:rsidR="00162BE8" w:rsidRPr="00162BE8" w:rsidRDefault="00162BE8" w:rsidP="00162BE8">
      <w:pPr>
        <w:numPr>
          <w:ilvl w:val="0"/>
          <w:numId w:val="7"/>
        </w:numPr>
        <w:tabs>
          <w:tab w:val="left" w:pos="709"/>
          <w:tab w:val="left" w:pos="851"/>
          <w:tab w:val="left" w:pos="948"/>
        </w:tabs>
        <w:spacing w:line="276" w:lineRule="auto"/>
        <w:ind w:left="0" w:firstLine="602"/>
        <w:contextualSpacing/>
        <w:jc w:val="both"/>
        <w:rPr>
          <w:lang w:val="en-US"/>
        </w:rPr>
      </w:pPr>
      <w:r w:rsidRPr="00162BE8">
        <w:rPr>
          <w:lang w:val="en-US"/>
        </w:rPr>
        <w:t xml:space="preserve">Se stabilește că Palatul de Cultură „Nicolae Iorga” din or. Sîngerei își desfășoară activitatea în cadrul structurii organizatorice a Secției Cultură a Consiliului raional Sîngerei, fiind succesorul de drepturi și obligații al Casei raionale de Cultură „Nicolae Iorga”, și exercitând suplimentar atribuții metodologice și de coordonare a activității caselor de cultură din raion, în condițiile legislației.  </w:t>
      </w:r>
    </w:p>
    <w:p w:rsidR="00162BE8" w:rsidRPr="00162BE8" w:rsidRDefault="00162BE8" w:rsidP="00162BE8">
      <w:pPr>
        <w:numPr>
          <w:ilvl w:val="0"/>
          <w:numId w:val="7"/>
        </w:numPr>
        <w:tabs>
          <w:tab w:val="left" w:pos="709"/>
          <w:tab w:val="left" w:pos="851"/>
          <w:tab w:val="left" w:pos="948"/>
        </w:tabs>
        <w:spacing w:line="276" w:lineRule="auto"/>
        <w:ind w:left="0" w:firstLine="602"/>
        <w:contextualSpacing/>
        <w:jc w:val="both"/>
        <w:rPr>
          <w:lang w:val="en-US"/>
        </w:rPr>
      </w:pPr>
      <w:r w:rsidRPr="00162BE8">
        <w:rPr>
          <w:lang w:val="en-US"/>
        </w:rPr>
        <w:t>Se modifică Anexele nr. 1 și nr. 2 la Decizia Consiliului raional Sîngerei nr. 7/10 din 26 septembrie 2024 „Cu privire la aprobarea structurii și efectivului-limită ale Secției Cultură”, în partea ce ține de Casa raională de Cultură „Nicolae Iorga”, după cum urmează:</w:t>
      </w:r>
    </w:p>
    <w:p w:rsidR="00162BE8" w:rsidRPr="00162BE8" w:rsidRDefault="00162BE8" w:rsidP="00162BE8">
      <w:pPr>
        <w:tabs>
          <w:tab w:val="left" w:pos="709"/>
          <w:tab w:val="left" w:pos="851"/>
          <w:tab w:val="left" w:pos="948"/>
        </w:tabs>
        <w:spacing w:line="276" w:lineRule="auto"/>
        <w:ind w:firstLine="602"/>
        <w:contextualSpacing/>
        <w:jc w:val="both"/>
        <w:rPr>
          <w:lang w:val="en-US"/>
        </w:rPr>
      </w:pPr>
      <w:r w:rsidRPr="00162BE8">
        <w:rPr>
          <w:lang w:val="en-US"/>
        </w:rPr>
        <w:t>5.1. În Anexa nr. 1, denumirea „Casa Raională de Cultură „Nicolae Iorga” se substituie cu denumirea „Palatul de Cultură „Nicolae Iorga”;</w:t>
      </w:r>
    </w:p>
    <w:p w:rsidR="00162BE8" w:rsidRPr="00162BE8" w:rsidRDefault="00162BE8" w:rsidP="00162BE8">
      <w:pPr>
        <w:tabs>
          <w:tab w:val="left" w:pos="709"/>
          <w:tab w:val="left" w:pos="851"/>
          <w:tab w:val="left" w:pos="948"/>
        </w:tabs>
        <w:spacing w:line="276" w:lineRule="auto"/>
        <w:ind w:firstLine="602"/>
        <w:contextualSpacing/>
        <w:jc w:val="both"/>
        <w:rPr>
          <w:lang w:val="en-US"/>
        </w:rPr>
      </w:pPr>
      <w:r w:rsidRPr="00162BE8">
        <w:rPr>
          <w:lang w:val="en-US"/>
        </w:rPr>
        <w:t>5.2. În anexa nr. 2, Tabelul II, poziția 2 „Casa Raională de Cultură Nicolae Iorga” se substituie cu poziția „Palatul de Cultură „Nicolae Iorga”;</w:t>
      </w:r>
    </w:p>
    <w:p w:rsidR="00162BE8" w:rsidRPr="00162BE8" w:rsidRDefault="00162BE8" w:rsidP="00162BE8">
      <w:pPr>
        <w:numPr>
          <w:ilvl w:val="0"/>
          <w:numId w:val="7"/>
        </w:numPr>
        <w:tabs>
          <w:tab w:val="left" w:pos="709"/>
          <w:tab w:val="left" w:pos="851"/>
        </w:tabs>
        <w:spacing w:line="276" w:lineRule="auto"/>
        <w:ind w:left="0" w:firstLine="602"/>
        <w:contextualSpacing/>
        <w:jc w:val="both"/>
        <w:rPr>
          <w:lang w:val="en-US"/>
        </w:rPr>
      </w:pPr>
      <w:r w:rsidRPr="00162BE8">
        <w:rPr>
          <w:lang w:val="en-US"/>
        </w:rPr>
        <w:t>Secția Cultură a Consiliului raional Sîngerei va asigura:</w:t>
      </w:r>
    </w:p>
    <w:p w:rsidR="00162BE8" w:rsidRPr="00162BE8" w:rsidRDefault="00162BE8" w:rsidP="00162BE8">
      <w:pPr>
        <w:tabs>
          <w:tab w:val="left" w:pos="709"/>
          <w:tab w:val="left" w:pos="851"/>
          <w:tab w:val="left" w:pos="993"/>
        </w:tabs>
        <w:spacing w:line="276" w:lineRule="auto"/>
        <w:ind w:firstLine="602"/>
        <w:contextualSpacing/>
        <w:jc w:val="both"/>
        <w:rPr>
          <w:lang w:val="en-US"/>
        </w:rPr>
      </w:pPr>
      <w:r w:rsidRPr="00162BE8">
        <w:rPr>
          <w:lang w:val="en-US"/>
        </w:rPr>
        <w:t>6.1. notificarea prealabilă, în scris, a autorității centrale de specialitate responsabile de domeniul culturii privind modificarea modului de organizare a Casei raionale de Cultură „Nicolae Iorga”;</w:t>
      </w:r>
    </w:p>
    <w:p w:rsidR="00162BE8" w:rsidRPr="00162BE8" w:rsidRDefault="00162BE8" w:rsidP="00162BE8">
      <w:pPr>
        <w:tabs>
          <w:tab w:val="left" w:pos="709"/>
          <w:tab w:val="left" w:pos="851"/>
        </w:tabs>
        <w:spacing w:line="276" w:lineRule="auto"/>
        <w:ind w:firstLine="602"/>
        <w:contextualSpacing/>
        <w:jc w:val="both"/>
        <w:rPr>
          <w:lang w:val="en-US"/>
        </w:rPr>
      </w:pPr>
      <w:r w:rsidRPr="00162BE8">
        <w:rPr>
          <w:lang w:val="en-US"/>
        </w:rPr>
        <w:t>6.2. aducerea actelor administrative și a documentelor interne ale Palatului de Cultură „Nicolae Iorga” în concordanță cu prezenta decizie și Regulamentul aprobat;</w:t>
      </w:r>
    </w:p>
    <w:p w:rsidR="00162BE8" w:rsidRPr="00162BE8" w:rsidRDefault="00162BE8" w:rsidP="00162BE8">
      <w:pPr>
        <w:tabs>
          <w:tab w:val="left" w:pos="709"/>
          <w:tab w:val="left" w:pos="851"/>
        </w:tabs>
        <w:spacing w:line="276" w:lineRule="auto"/>
        <w:ind w:firstLine="602"/>
        <w:contextualSpacing/>
        <w:jc w:val="both"/>
        <w:rPr>
          <w:lang w:val="en-US"/>
        </w:rPr>
      </w:pPr>
      <w:r w:rsidRPr="00162BE8">
        <w:rPr>
          <w:lang w:val="en-US"/>
        </w:rPr>
        <w:lastRenderedPageBreak/>
        <w:t>6.3. realizarea măsurilor organizatorice necesare pentru asigurarea continuității activității și exercitarea atribuțiilor metodologice ale Palatului de cultură.</w:t>
      </w:r>
    </w:p>
    <w:p w:rsidR="00162BE8" w:rsidRPr="00162BE8" w:rsidRDefault="00162BE8" w:rsidP="00162BE8">
      <w:pPr>
        <w:numPr>
          <w:ilvl w:val="0"/>
          <w:numId w:val="7"/>
        </w:numPr>
        <w:tabs>
          <w:tab w:val="left" w:pos="709"/>
          <w:tab w:val="left" w:pos="798"/>
          <w:tab w:val="left" w:pos="851"/>
        </w:tabs>
        <w:spacing w:line="276" w:lineRule="auto"/>
        <w:ind w:left="0" w:firstLine="602"/>
        <w:contextualSpacing/>
        <w:jc w:val="both"/>
        <w:rPr>
          <w:lang w:val="en-US"/>
        </w:rPr>
      </w:pPr>
      <w:r>
        <w:rPr>
          <w:lang w:val="en-US"/>
        </w:rPr>
        <w:t xml:space="preserve"> </w:t>
      </w:r>
      <w:r w:rsidRPr="00162BE8">
        <w:rPr>
          <w:lang w:val="en-US"/>
        </w:rPr>
        <w:t>Executarea prezentei decizii se pune în sarcina Șefului Secției Cultură, dl Dionisie COBÎLAȘ și Vicepreședintei raionului, dna Vera SERBUȘCA.</w:t>
      </w:r>
    </w:p>
    <w:p w:rsidR="00162BE8" w:rsidRPr="00162BE8" w:rsidRDefault="00162BE8" w:rsidP="00162BE8">
      <w:pPr>
        <w:numPr>
          <w:ilvl w:val="0"/>
          <w:numId w:val="7"/>
        </w:numPr>
        <w:tabs>
          <w:tab w:val="left" w:pos="709"/>
          <w:tab w:val="left" w:pos="798"/>
          <w:tab w:val="left" w:pos="851"/>
        </w:tabs>
        <w:spacing w:line="276" w:lineRule="auto"/>
        <w:ind w:left="0" w:firstLine="602"/>
        <w:contextualSpacing/>
        <w:jc w:val="both"/>
        <w:rPr>
          <w:lang w:val="en-US"/>
        </w:rPr>
      </w:pPr>
      <w:r>
        <w:rPr>
          <w:lang w:val="en-US"/>
        </w:rPr>
        <w:t xml:space="preserve"> </w:t>
      </w:r>
      <w:r w:rsidRPr="00162BE8">
        <w:rPr>
          <w:lang w:val="en-US"/>
        </w:rPr>
        <w:t>Controlul asupra realizării deciziei în cauză, se pune în sarcina Comisiei consultative pentru Învăţămînt, cultură, sport, tineret, ocrotirea sănătăţii, probleme sociale, turism şi culte (dna Alina Tabarcea).</w:t>
      </w:r>
    </w:p>
    <w:p w:rsidR="00162BE8" w:rsidRPr="00162BE8" w:rsidRDefault="00162BE8" w:rsidP="00162BE8">
      <w:pPr>
        <w:numPr>
          <w:ilvl w:val="0"/>
          <w:numId w:val="7"/>
        </w:numPr>
        <w:tabs>
          <w:tab w:val="left" w:pos="709"/>
          <w:tab w:val="left" w:pos="798"/>
          <w:tab w:val="left" w:pos="851"/>
        </w:tabs>
        <w:spacing w:line="276" w:lineRule="auto"/>
        <w:ind w:left="0" w:firstLine="602"/>
        <w:contextualSpacing/>
        <w:jc w:val="both"/>
        <w:rPr>
          <w:lang w:val="en-US"/>
        </w:rPr>
      </w:pPr>
      <w:r>
        <w:rPr>
          <w:lang w:val="en-US"/>
        </w:rPr>
        <w:t xml:space="preserve"> </w:t>
      </w:r>
      <w:r w:rsidRPr="00162BE8">
        <w:rPr>
          <w:lang w:val="en-US"/>
        </w:rPr>
        <w:t>Prezenta decizie poate fi contestată la Judecătoria Bălți (sediul Central, str. Hotinului, 43) în termen de 30 zile de la data publicării, potrivit prevederilor Codului administrativ al Republicii Moldova nr.116/2018.</w:t>
      </w:r>
    </w:p>
    <w:p w:rsidR="00162BE8" w:rsidRPr="00162BE8" w:rsidRDefault="00162BE8" w:rsidP="00162BE8">
      <w:pPr>
        <w:tabs>
          <w:tab w:val="left" w:pos="709"/>
          <w:tab w:val="left" w:pos="851"/>
        </w:tabs>
        <w:spacing w:line="276" w:lineRule="auto"/>
        <w:ind w:firstLine="602"/>
        <w:contextualSpacing/>
        <w:jc w:val="both"/>
        <w:rPr>
          <w:lang w:val="en-US"/>
        </w:rPr>
      </w:pPr>
    </w:p>
    <w:p w:rsidR="00292A8B" w:rsidRPr="00162BE8" w:rsidRDefault="00292A8B">
      <w:pPr>
        <w:jc w:val="both"/>
        <w:rPr>
          <w:rFonts w:eastAsia="Calibri"/>
          <w:b/>
          <w:lang w:val="en-US"/>
        </w:rPr>
      </w:pPr>
    </w:p>
    <w:p w:rsidR="00292A8B" w:rsidRDefault="00B431B3">
      <w:pPr>
        <w:jc w:val="both"/>
        <w:rPr>
          <w:lang w:val="ro-RO"/>
        </w:rPr>
      </w:pPr>
      <w:r>
        <w:rPr>
          <w:rFonts w:eastAsia="Calibri"/>
          <w:b/>
          <w:lang w:val="it-IT"/>
        </w:rPr>
        <w:t>Preşedint</w:t>
      </w:r>
      <w:r>
        <w:rPr>
          <w:rFonts w:eastAsia="Calibri"/>
          <w:b/>
          <w:lang w:val="ro-RO"/>
        </w:rPr>
        <w:t>a</w:t>
      </w:r>
      <w:r>
        <w:rPr>
          <w:rFonts w:eastAsia="Calibri"/>
          <w:b/>
          <w:lang w:val="it-IT"/>
        </w:rPr>
        <w:t xml:space="preserve"> şedinţei</w:t>
      </w:r>
      <w:r>
        <w:rPr>
          <w:rFonts w:eastAsia="Calibri"/>
          <w:b/>
          <w:lang w:val="it-IT"/>
        </w:rPr>
        <w:tab/>
      </w:r>
      <w:r>
        <w:rPr>
          <w:rFonts w:eastAsia="Calibri"/>
          <w:b/>
          <w:lang w:val="it-IT"/>
        </w:rPr>
        <w:tab/>
        <w:t xml:space="preserve">                                                 </w:t>
      </w:r>
      <w:r w:rsidR="0097306A">
        <w:rPr>
          <w:rFonts w:eastAsia="Calibri"/>
          <w:b/>
          <w:lang w:val="it-IT"/>
        </w:rPr>
        <w:t xml:space="preserve">                             </w:t>
      </w:r>
      <w:r>
        <w:rPr>
          <w:rFonts w:eastAsia="Calibri"/>
          <w:b/>
          <w:lang w:val="it-IT"/>
        </w:rPr>
        <w:t xml:space="preserve">  </w:t>
      </w:r>
      <w:r w:rsidR="0097306A">
        <w:rPr>
          <w:rFonts w:eastAsia="Calibri"/>
          <w:b/>
          <w:lang w:val="ro-RO"/>
        </w:rPr>
        <w:t>Alina TABARCEA</w:t>
      </w:r>
    </w:p>
    <w:p w:rsidR="00292A8B" w:rsidRDefault="00292A8B">
      <w:pPr>
        <w:tabs>
          <w:tab w:val="left" w:pos="1860"/>
        </w:tabs>
        <w:jc w:val="both"/>
        <w:rPr>
          <w:rFonts w:eastAsia="Calibri"/>
          <w:b/>
          <w:lang w:val="it-IT"/>
        </w:rPr>
      </w:pPr>
    </w:p>
    <w:p w:rsidR="00292A8B" w:rsidRDefault="00292A8B">
      <w:pPr>
        <w:tabs>
          <w:tab w:val="left" w:pos="1860"/>
        </w:tabs>
        <w:jc w:val="both"/>
        <w:rPr>
          <w:rFonts w:eastAsia="Calibri"/>
          <w:b/>
          <w:lang w:val="it-IT"/>
        </w:rPr>
      </w:pPr>
    </w:p>
    <w:p w:rsidR="00292A8B" w:rsidRDefault="00B431B3">
      <w:pPr>
        <w:tabs>
          <w:tab w:val="left" w:pos="1860"/>
        </w:tabs>
        <w:jc w:val="both"/>
        <w:rPr>
          <w:rFonts w:eastAsia="Calibri"/>
          <w:b/>
          <w:lang w:val="it-IT"/>
        </w:rPr>
      </w:pPr>
      <w:r>
        <w:rPr>
          <w:rFonts w:eastAsia="Calibri"/>
          <w:b/>
          <w:lang w:val="it-IT"/>
        </w:rPr>
        <w:t>CONTRASEMNAT:</w:t>
      </w:r>
    </w:p>
    <w:p w:rsidR="00292A8B" w:rsidRDefault="00B431B3">
      <w:pPr>
        <w:tabs>
          <w:tab w:val="left" w:pos="1860"/>
        </w:tabs>
        <w:jc w:val="both"/>
        <w:rPr>
          <w:rFonts w:eastAsia="Calibri"/>
          <w:b/>
          <w:lang w:val="it-IT"/>
        </w:rPr>
      </w:pPr>
      <w:r>
        <w:rPr>
          <w:rFonts w:eastAsia="Calibri"/>
          <w:b/>
          <w:lang w:val="it-IT"/>
        </w:rPr>
        <w:t xml:space="preserve">Secretara interimară a Consiliului raional                                                    </w:t>
      </w:r>
      <w:r>
        <w:rPr>
          <w:rFonts w:eastAsia="Calibri"/>
          <w:b/>
          <w:lang w:val="ro-RO"/>
        </w:rPr>
        <w:t xml:space="preserve"> </w:t>
      </w:r>
      <w:r>
        <w:rPr>
          <w:rFonts w:eastAsia="Calibri"/>
          <w:b/>
          <w:lang w:val="it-IT"/>
        </w:rPr>
        <w:t xml:space="preserve"> Angela MIHALIUC</w:t>
      </w:r>
    </w:p>
    <w:p w:rsidR="00292A8B" w:rsidRDefault="00292A8B">
      <w:pPr>
        <w:rPr>
          <w:b/>
          <w:i/>
          <w:lang w:val="en-US"/>
        </w:rPr>
      </w:pPr>
    </w:p>
    <w:p w:rsidR="009D53F1" w:rsidRPr="009D53F1" w:rsidRDefault="009D53F1" w:rsidP="009D53F1">
      <w:pPr>
        <w:rPr>
          <w:b/>
          <w:i/>
          <w:lang w:val="en-US"/>
        </w:rPr>
      </w:pPr>
      <w:r w:rsidRPr="009D53F1">
        <w:rPr>
          <w:b/>
          <w:i/>
          <w:lang w:val="en-US"/>
        </w:rPr>
        <w:t xml:space="preserve">Conform originalului </w:t>
      </w:r>
    </w:p>
    <w:p w:rsidR="009D53F1" w:rsidRPr="009D53F1" w:rsidRDefault="009D53F1" w:rsidP="009D53F1">
      <w:pPr>
        <w:rPr>
          <w:rFonts w:eastAsia="Calibri"/>
          <w:b/>
          <w:lang w:val="en-US"/>
        </w:rPr>
      </w:pPr>
      <w:r w:rsidRPr="009D53F1">
        <w:rPr>
          <w:b/>
          <w:lang w:val="en-US"/>
        </w:rPr>
        <w:t>Secretară interimară a Consiliului raional</w:t>
      </w:r>
      <w:r w:rsidRPr="009D53F1">
        <w:rPr>
          <w:b/>
          <w:lang w:val="en-US"/>
        </w:rPr>
        <w:tab/>
        <w:t xml:space="preserve">                                    </w:t>
      </w:r>
      <w:r>
        <w:rPr>
          <w:b/>
          <w:lang w:val="en-US"/>
        </w:rPr>
        <w:t xml:space="preserve">     </w:t>
      </w:r>
      <w:bookmarkStart w:id="0" w:name="_GoBack"/>
      <w:bookmarkEnd w:id="0"/>
      <w:r w:rsidRPr="009D53F1">
        <w:rPr>
          <w:b/>
          <w:lang w:val="en-US"/>
        </w:rPr>
        <w:t xml:space="preserve">  Angela MIHALIUC</w:t>
      </w:r>
    </w:p>
    <w:p w:rsidR="009D53F1" w:rsidRPr="009D53F1" w:rsidRDefault="009D53F1" w:rsidP="009D53F1">
      <w:pPr>
        <w:rPr>
          <w:lang w:val="en-US"/>
        </w:rPr>
      </w:pPr>
    </w:p>
    <w:p w:rsidR="009D53F1" w:rsidRPr="009D53F1" w:rsidRDefault="009D53F1" w:rsidP="009D53F1">
      <w:pPr>
        <w:tabs>
          <w:tab w:val="left" w:pos="2835"/>
          <w:tab w:val="left" w:pos="2970"/>
          <w:tab w:val="left" w:pos="3120"/>
        </w:tabs>
        <w:rPr>
          <w:b/>
          <w:lang w:val="it-IT"/>
        </w:rPr>
      </w:pPr>
    </w:p>
    <w:p w:rsidR="00292A8B" w:rsidRPr="009D53F1" w:rsidRDefault="00292A8B">
      <w:pPr>
        <w:tabs>
          <w:tab w:val="left" w:pos="1860"/>
        </w:tabs>
        <w:jc w:val="both"/>
        <w:rPr>
          <w:rFonts w:eastAsia="Calibri"/>
          <w:b/>
          <w:lang w:val="it-IT"/>
        </w:rPr>
      </w:pPr>
    </w:p>
    <w:p w:rsidR="00292A8B" w:rsidRDefault="00292A8B">
      <w:pPr>
        <w:ind w:right="111"/>
        <w:jc w:val="right"/>
        <w:rPr>
          <w:b/>
          <w:lang w:val="en-US"/>
        </w:rPr>
      </w:pPr>
    </w:p>
    <w:p w:rsidR="00292A8B" w:rsidRDefault="00292A8B">
      <w:pPr>
        <w:ind w:right="111"/>
        <w:jc w:val="right"/>
        <w:rPr>
          <w:b/>
          <w:lang w:val="en-US"/>
        </w:rPr>
      </w:pPr>
    </w:p>
    <w:p w:rsidR="00292A8B" w:rsidRDefault="00292A8B">
      <w:pPr>
        <w:ind w:right="111"/>
        <w:jc w:val="right"/>
        <w:rPr>
          <w:b/>
          <w:lang w:val="en-US"/>
        </w:rPr>
      </w:pPr>
    </w:p>
    <w:p w:rsidR="00292A8B" w:rsidRDefault="00292A8B">
      <w:pPr>
        <w:ind w:right="111"/>
        <w:jc w:val="right"/>
        <w:rPr>
          <w:b/>
          <w:lang w:val="en-US"/>
        </w:rPr>
      </w:pPr>
    </w:p>
    <w:p w:rsidR="00292A8B" w:rsidRDefault="00292A8B">
      <w:pPr>
        <w:ind w:right="111"/>
        <w:jc w:val="right"/>
        <w:rPr>
          <w:b/>
          <w:lang w:val="en-US"/>
        </w:rPr>
      </w:pPr>
    </w:p>
    <w:p w:rsidR="00292A8B" w:rsidRDefault="00292A8B">
      <w:pPr>
        <w:ind w:right="111"/>
        <w:jc w:val="right"/>
        <w:rPr>
          <w:b/>
          <w:lang w:val="en-US"/>
        </w:rPr>
      </w:pPr>
    </w:p>
    <w:sectPr w:rsidR="00292A8B">
      <w:pgSz w:w="11906" w:h="16838"/>
      <w:pgMar w:top="680" w:right="851" w:bottom="680" w:left="1418" w:header="709" w:footer="709" w:gutter="0"/>
      <w:cols w:space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514E" w:rsidRDefault="0006514E">
      <w:r>
        <w:separator/>
      </w:r>
    </w:p>
  </w:endnote>
  <w:endnote w:type="continuationSeparator" w:id="0">
    <w:p w:rsidR="0006514E" w:rsidRDefault="000651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514E" w:rsidRDefault="0006514E">
      <w:r>
        <w:separator/>
      </w:r>
    </w:p>
  </w:footnote>
  <w:footnote w:type="continuationSeparator" w:id="0">
    <w:p w:rsidR="0006514E" w:rsidRDefault="000651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E6C53"/>
    <w:multiLevelType w:val="multilevel"/>
    <w:tmpl w:val="EED650A2"/>
    <w:lvl w:ilvl="0">
      <w:start w:val="1"/>
      <w:numFmt w:val="decimal"/>
      <w:lvlText w:val="%1."/>
      <w:lvlJc w:val="left"/>
      <w:pPr>
        <w:ind w:left="720" w:hanging="360"/>
      </w:pPr>
      <w:rPr>
        <w:lang w:val="en-U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9A5620"/>
    <w:multiLevelType w:val="multilevel"/>
    <w:tmpl w:val="0B9A5620"/>
    <w:lvl w:ilvl="0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i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640519"/>
    <w:multiLevelType w:val="multilevel"/>
    <w:tmpl w:val="13640519"/>
    <w:lvl w:ilvl="0">
      <w:start w:val="1"/>
      <w:numFmt w:val="decimal"/>
      <w:lvlText w:val="%1."/>
      <w:lvlJc w:val="left"/>
      <w:pPr>
        <w:ind w:left="1911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F95B8F"/>
    <w:multiLevelType w:val="multilevel"/>
    <w:tmpl w:val="22F95B8F"/>
    <w:lvl w:ilvl="0">
      <w:start w:val="5"/>
      <w:numFmt w:val="decimal"/>
      <w:lvlText w:val="%1."/>
      <w:lvlJc w:val="left"/>
      <w:pPr>
        <w:ind w:left="1422" w:hanging="855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4" w15:restartNumberingAfterBreak="0">
    <w:nsid w:val="4BEE3B3F"/>
    <w:multiLevelType w:val="multilevel"/>
    <w:tmpl w:val="4BEE3B3F"/>
    <w:lvl w:ilvl="0">
      <w:start w:val="1"/>
      <w:numFmt w:val="decimal"/>
      <w:lvlText w:val="%1."/>
      <w:lvlJc w:val="left"/>
      <w:pPr>
        <w:ind w:left="1020" w:hanging="360"/>
      </w:pPr>
    </w:lvl>
    <w:lvl w:ilvl="1">
      <w:start w:val="1"/>
      <w:numFmt w:val="lowerLetter"/>
      <w:lvlText w:val="%2."/>
      <w:lvlJc w:val="left"/>
      <w:pPr>
        <w:ind w:left="1740" w:hanging="360"/>
      </w:pPr>
    </w:lvl>
    <w:lvl w:ilvl="2">
      <w:start w:val="1"/>
      <w:numFmt w:val="lowerRoman"/>
      <w:lvlText w:val="%3."/>
      <w:lvlJc w:val="right"/>
      <w:pPr>
        <w:ind w:left="2460" w:hanging="180"/>
      </w:pPr>
    </w:lvl>
    <w:lvl w:ilvl="3">
      <w:start w:val="1"/>
      <w:numFmt w:val="decimal"/>
      <w:lvlText w:val="%4."/>
      <w:lvlJc w:val="left"/>
      <w:pPr>
        <w:ind w:left="3180" w:hanging="360"/>
      </w:pPr>
    </w:lvl>
    <w:lvl w:ilvl="4">
      <w:start w:val="1"/>
      <w:numFmt w:val="lowerLetter"/>
      <w:lvlText w:val="%5."/>
      <w:lvlJc w:val="left"/>
      <w:pPr>
        <w:ind w:left="3900" w:hanging="360"/>
      </w:pPr>
    </w:lvl>
    <w:lvl w:ilvl="5">
      <w:start w:val="1"/>
      <w:numFmt w:val="lowerRoman"/>
      <w:lvlText w:val="%6."/>
      <w:lvlJc w:val="right"/>
      <w:pPr>
        <w:ind w:left="4620" w:hanging="180"/>
      </w:pPr>
    </w:lvl>
    <w:lvl w:ilvl="6">
      <w:start w:val="1"/>
      <w:numFmt w:val="decimal"/>
      <w:lvlText w:val="%7."/>
      <w:lvlJc w:val="left"/>
      <w:pPr>
        <w:ind w:left="5340" w:hanging="360"/>
      </w:pPr>
    </w:lvl>
    <w:lvl w:ilvl="7">
      <w:start w:val="1"/>
      <w:numFmt w:val="lowerLetter"/>
      <w:lvlText w:val="%8."/>
      <w:lvlJc w:val="left"/>
      <w:pPr>
        <w:ind w:left="6060" w:hanging="360"/>
      </w:pPr>
    </w:lvl>
    <w:lvl w:ilvl="8">
      <w:start w:val="1"/>
      <w:numFmt w:val="lowerRoman"/>
      <w:lvlText w:val="%9."/>
      <w:lvlJc w:val="right"/>
      <w:pPr>
        <w:ind w:left="6780" w:hanging="180"/>
      </w:pPr>
    </w:lvl>
  </w:abstractNum>
  <w:abstractNum w:abstractNumId="5" w15:restartNumberingAfterBreak="0">
    <w:nsid w:val="5FAD3256"/>
    <w:multiLevelType w:val="multilevel"/>
    <w:tmpl w:val="5FAD3256"/>
    <w:lvl w:ilvl="0">
      <w:start w:val="1"/>
      <w:numFmt w:val="decimal"/>
      <w:lvlText w:val="%1."/>
      <w:lvlJc w:val="left"/>
      <w:pPr>
        <w:ind w:left="2065" w:hanging="36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o-RO" w:eastAsia="en-US" w:bidi="ar-SA"/>
      </w:rPr>
    </w:lvl>
    <w:lvl w:ilvl="1">
      <w:numFmt w:val="bullet"/>
      <w:lvlText w:val="•"/>
      <w:lvlJc w:val="left"/>
      <w:pPr>
        <w:ind w:left="2816" w:hanging="360"/>
      </w:pPr>
      <w:rPr>
        <w:rFonts w:hint="default"/>
        <w:lang w:val="ro-RO" w:eastAsia="en-US" w:bidi="ar-SA"/>
      </w:rPr>
    </w:lvl>
    <w:lvl w:ilvl="2">
      <w:numFmt w:val="bullet"/>
      <w:lvlText w:val="•"/>
      <w:lvlJc w:val="left"/>
      <w:pPr>
        <w:ind w:left="3572" w:hanging="36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4328" w:hanging="36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5084" w:hanging="36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840" w:hanging="36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596" w:hanging="36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352" w:hanging="36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108" w:hanging="360"/>
      </w:pPr>
      <w:rPr>
        <w:rFonts w:hint="default"/>
        <w:lang w:val="ro-RO" w:eastAsia="en-US" w:bidi="ar-SA"/>
      </w:rPr>
    </w:lvl>
  </w:abstractNum>
  <w:abstractNum w:abstractNumId="6" w15:restartNumberingAfterBreak="0">
    <w:nsid w:val="6E946335"/>
    <w:multiLevelType w:val="multilevel"/>
    <w:tmpl w:val="6E946335"/>
    <w:lvl w:ilvl="0">
      <w:start w:val="1"/>
      <w:numFmt w:val="decimal"/>
      <w:lvlText w:val="%1."/>
      <w:lvlJc w:val="left"/>
      <w:pPr>
        <w:ind w:left="1911" w:hanging="360"/>
      </w:pPr>
    </w:lvl>
    <w:lvl w:ilvl="1">
      <w:start w:val="1"/>
      <w:numFmt w:val="lowerLetter"/>
      <w:lvlText w:val="%2."/>
      <w:lvlJc w:val="left"/>
      <w:pPr>
        <w:ind w:left="2631" w:hanging="360"/>
      </w:pPr>
    </w:lvl>
    <w:lvl w:ilvl="2">
      <w:start w:val="1"/>
      <w:numFmt w:val="lowerRoman"/>
      <w:lvlText w:val="%3."/>
      <w:lvlJc w:val="right"/>
      <w:pPr>
        <w:ind w:left="3351" w:hanging="180"/>
      </w:pPr>
    </w:lvl>
    <w:lvl w:ilvl="3">
      <w:start w:val="1"/>
      <w:numFmt w:val="decimal"/>
      <w:lvlText w:val="%4."/>
      <w:lvlJc w:val="left"/>
      <w:pPr>
        <w:ind w:left="4071" w:hanging="360"/>
      </w:pPr>
    </w:lvl>
    <w:lvl w:ilvl="4">
      <w:start w:val="1"/>
      <w:numFmt w:val="lowerLetter"/>
      <w:lvlText w:val="%5."/>
      <w:lvlJc w:val="left"/>
      <w:pPr>
        <w:ind w:left="4791" w:hanging="360"/>
      </w:pPr>
    </w:lvl>
    <w:lvl w:ilvl="5">
      <w:start w:val="1"/>
      <w:numFmt w:val="lowerRoman"/>
      <w:lvlText w:val="%6."/>
      <w:lvlJc w:val="right"/>
      <w:pPr>
        <w:ind w:left="5511" w:hanging="180"/>
      </w:pPr>
    </w:lvl>
    <w:lvl w:ilvl="6">
      <w:start w:val="1"/>
      <w:numFmt w:val="decimal"/>
      <w:lvlText w:val="%7."/>
      <w:lvlJc w:val="left"/>
      <w:pPr>
        <w:ind w:left="6231" w:hanging="360"/>
      </w:pPr>
    </w:lvl>
    <w:lvl w:ilvl="7">
      <w:start w:val="1"/>
      <w:numFmt w:val="lowerLetter"/>
      <w:lvlText w:val="%8."/>
      <w:lvlJc w:val="left"/>
      <w:pPr>
        <w:ind w:left="6951" w:hanging="360"/>
      </w:pPr>
    </w:lvl>
    <w:lvl w:ilvl="8">
      <w:start w:val="1"/>
      <w:numFmt w:val="lowerRoman"/>
      <w:lvlText w:val="%9."/>
      <w:lvlJc w:val="right"/>
      <w:pPr>
        <w:ind w:left="7671" w:hanging="180"/>
      </w:p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6"/>
  </w:num>
  <w:num w:numId="5">
    <w:abstractNumId w:val="2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A9B"/>
    <w:rsid w:val="000037C3"/>
    <w:rsid w:val="00005D2A"/>
    <w:rsid w:val="000249B9"/>
    <w:rsid w:val="00032888"/>
    <w:rsid w:val="00041E89"/>
    <w:rsid w:val="00044264"/>
    <w:rsid w:val="00046014"/>
    <w:rsid w:val="00047E4A"/>
    <w:rsid w:val="00050B3C"/>
    <w:rsid w:val="00052BDE"/>
    <w:rsid w:val="000544F6"/>
    <w:rsid w:val="00064C3B"/>
    <w:rsid w:val="00064F9B"/>
    <w:rsid w:val="0006514E"/>
    <w:rsid w:val="00090B00"/>
    <w:rsid w:val="00093E94"/>
    <w:rsid w:val="000B02EC"/>
    <w:rsid w:val="000B0F02"/>
    <w:rsid w:val="000B5154"/>
    <w:rsid w:val="000D086F"/>
    <w:rsid w:val="000D71A3"/>
    <w:rsid w:val="000F4706"/>
    <w:rsid w:val="0010067B"/>
    <w:rsid w:val="0013153B"/>
    <w:rsid w:val="001321E7"/>
    <w:rsid w:val="00140A4E"/>
    <w:rsid w:val="00162BE8"/>
    <w:rsid w:val="001710F3"/>
    <w:rsid w:val="00175830"/>
    <w:rsid w:val="00176819"/>
    <w:rsid w:val="00176BBC"/>
    <w:rsid w:val="001858A5"/>
    <w:rsid w:val="001A3E17"/>
    <w:rsid w:val="001A45BA"/>
    <w:rsid w:val="001A582F"/>
    <w:rsid w:val="001D46BE"/>
    <w:rsid w:val="001D676A"/>
    <w:rsid w:val="001F1579"/>
    <w:rsid w:val="001F4496"/>
    <w:rsid w:val="001F7396"/>
    <w:rsid w:val="002049FE"/>
    <w:rsid w:val="0020679D"/>
    <w:rsid w:val="00214261"/>
    <w:rsid w:val="00215682"/>
    <w:rsid w:val="0022226E"/>
    <w:rsid w:val="00275E86"/>
    <w:rsid w:val="00281856"/>
    <w:rsid w:val="00282376"/>
    <w:rsid w:val="00282AF6"/>
    <w:rsid w:val="00290D4F"/>
    <w:rsid w:val="00292A8B"/>
    <w:rsid w:val="00292ADB"/>
    <w:rsid w:val="002954DC"/>
    <w:rsid w:val="002B4581"/>
    <w:rsid w:val="002C05D4"/>
    <w:rsid w:val="002F0937"/>
    <w:rsid w:val="002F4DC0"/>
    <w:rsid w:val="003017A6"/>
    <w:rsid w:val="003070BF"/>
    <w:rsid w:val="00311ACA"/>
    <w:rsid w:val="0031241E"/>
    <w:rsid w:val="003145FF"/>
    <w:rsid w:val="00316577"/>
    <w:rsid w:val="0032516B"/>
    <w:rsid w:val="00325356"/>
    <w:rsid w:val="0034542B"/>
    <w:rsid w:val="00346C65"/>
    <w:rsid w:val="00352FAC"/>
    <w:rsid w:val="00363D4F"/>
    <w:rsid w:val="00363F3E"/>
    <w:rsid w:val="00367B22"/>
    <w:rsid w:val="00367E67"/>
    <w:rsid w:val="00373E0D"/>
    <w:rsid w:val="0037543C"/>
    <w:rsid w:val="003A2855"/>
    <w:rsid w:val="003E31E8"/>
    <w:rsid w:val="003E4529"/>
    <w:rsid w:val="003E7392"/>
    <w:rsid w:val="003F7623"/>
    <w:rsid w:val="00402609"/>
    <w:rsid w:val="00420407"/>
    <w:rsid w:val="004403FA"/>
    <w:rsid w:val="004425F0"/>
    <w:rsid w:val="00450EF9"/>
    <w:rsid w:val="0046729C"/>
    <w:rsid w:val="004765F1"/>
    <w:rsid w:val="004866C1"/>
    <w:rsid w:val="004C2F3A"/>
    <w:rsid w:val="004C7FF8"/>
    <w:rsid w:val="004D1394"/>
    <w:rsid w:val="004D3BAD"/>
    <w:rsid w:val="004D7F64"/>
    <w:rsid w:val="004E0E5C"/>
    <w:rsid w:val="004E1332"/>
    <w:rsid w:val="004E3927"/>
    <w:rsid w:val="00506721"/>
    <w:rsid w:val="00515B73"/>
    <w:rsid w:val="00535ED0"/>
    <w:rsid w:val="00537C97"/>
    <w:rsid w:val="005418A1"/>
    <w:rsid w:val="005454D2"/>
    <w:rsid w:val="005506C1"/>
    <w:rsid w:val="00563CC4"/>
    <w:rsid w:val="0056655F"/>
    <w:rsid w:val="005735BA"/>
    <w:rsid w:val="005863D7"/>
    <w:rsid w:val="005C1708"/>
    <w:rsid w:val="005C3BE7"/>
    <w:rsid w:val="005C50D4"/>
    <w:rsid w:val="005E0AF7"/>
    <w:rsid w:val="005F48C8"/>
    <w:rsid w:val="005F5923"/>
    <w:rsid w:val="00604745"/>
    <w:rsid w:val="00611BB7"/>
    <w:rsid w:val="00614C26"/>
    <w:rsid w:val="00620063"/>
    <w:rsid w:val="00630A9F"/>
    <w:rsid w:val="00635492"/>
    <w:rsid w:val="006430EC"/>
    <w:rsid w:val="00644A9B"/>
    <w:rsid w:val="0065272B"/>
    <w:rsid w:val="0066312D"/>
    <w:rsid w:val="00681ED5"/>
    <w:rsid w:val="006919BC"/>
    <w:rsid w:val="00693AF4"/>
    <w:rsid w:val="006966F2"/>
    <w:rsid w:val="006A46A0"/>
    <w:rsid w:val="006A547C"/>
    <w:rsid w:val="006C0734"/>
    <w:rsid w:val="006C3AA9"/>
    <w:rsid w:val="006D1AA0"/>
    <w:rsid w:val="006D2D76"/>
    <w:rsid w:val="006E213C"/>
    <w:rsid w:val="007213BE"/>
    <w:rsid w:val="007229D2"/>
    <w:rsid w:val="00725214"/>
    <w:rsid w:val="00733BB0"/>
    <w:rsid w:val="00734264"/>
    <w:rsid w:val="00740BC1"/>
    <w:rsid w:val="0076069B"/>
    <w:rsid w:val="00760DDC"/>
    <w:rsid w:val="00761808"/>
    <w:rsid w:val="007646CD"/>
    <w:rsid w:val="007971CD"/>
    <w:rsid w:val="007A0593"/>
    <w:rsid w:val="007B463C"/>
    <w:rsid w:val="007C3807"/>
    <w:rsid w:val="007D0F7D"/>
    <w:rsid w:val="007D7B4B"/>
    <w:rsid w:val="007E7ED6"/>
    <w:rsid w:val="00801E5B"/>
    <w:rsid w:val="00805973"/>
    <w:rsid w:val="00811FBF"/>
    <w:rsid w:val="00816261"/>
    <w:rsid w:val="00825574"/>
    <w:rsid w:val="0083256D"/>
    <w:rsid w:val="00833043"/>
    <w:rsid w:val="00845372"/>
    <w:rsid w:val="0085543D"/>
    <w:rsid w:val="00861204"/>
    <w:rsid w:val="0086590A"/>
    <w:rsid w:val="008727D1"/>
    <w:rsid w:val="00876FE5"/>
    <w:rsid w:val="00880672"/>
    <w:rsid w:val="00881079"/>
    <w:rsid w:val="008A1104"/>
    <w:rsid w:val="008B0C82"/>
    <w:rsid w:val="008C38E8"/>
    <w:rsid w:val="008C5948"/>
    <w:rsid w:val="008E3B59"/>
    <w:rsid w:val="008E7E38"/>
    <w:rsid w:val="008F7F7A"/>
    <w:rsid w:val="009156E5"/>
    <w:rsid w:val="009203CD"/>
    <w:rsid w:val="00921CE1"/>
    <w:rsid w:val="00925BC4"/>
    <w:rsid w:val="009266B5"/>
    <w:rsid w:val="00951D4A"/>
    <w:rsid w:val="00971DEB"/>
    <w:rsid w:val="0097306A"/>
    <w:rsid w:val="00976CAD"/>
    <w:rsid w:val="009801B4"/>
    <w:rsid w:val="00981661"/>
    <w:rsid w:val="009A14D2"/>
    <w:rsid w:val="009A6D32"/>
    <w:rsid w:val="009C3EA5"/>
    <w:rsid w:val="009D53F1"/>
    <w:rsid w:val="009E6546"/>
    <w:rsid w:val="009F42C0"/>
    <w:rsid w:val="009F7F6F"/>
    <w:rsid w:val="00A129AE"/>
    <w:rsid w:val="00A156FE"/>
    <w:rsid w:val="00A23E99"/>
    <w:rsid w:val="00A24E09"/>
    <w:rsid w:val="00A33247"/>
    <w:rsid w:val="00A462BD"/>
    <w:rsid w:val="00A52887"/>
    <w:rsid w:val="00A54638"/>
    <w:rsid w:val="00A55B11"/>
    <w:rsid w:val="00A8542C"/>
    <w:rsid w:val="00A94642"/>
    <w:rsid w:val="00AA01E3"/>
    <w:rsid w:val="00AA6C91"/>
    <w:rsid w:val="00AC3C92"/>
    <w:rsid w:val="00AD52A7"/>
    <w:rsid w:val="00AE7852"/>
    <w:rsid w:val="00AF228F"/>
    <w:rsid w:val="00AF2FA0"/>
    <w:rsid w:val="00B30254"/>
    <w:rsid w:val="00B431B3"/>
    <w:rsid w:val="00B46D3A"/>
    <w:rsid w:val="00B55B40"/>
    <w:rsid w:val="00B65A02"/>
    <w:rsid w:val="00B677C9"/>
    <w:rsid w:val="00B67FA6"/>
    <w:rsid w:val="00B76CC9"/>
    <w:rsid w:val="00B87A73"/>
    <w:rsid w:val="00B976DC"/>
    <w:rsid w:val="00BA3868"/>
    <w:rsid w:val="00BB1874"/>
    <w:rsid w:val="00BB6F8E"/>
    <w:rsid w:val="00BE1B2B"/>
    <w:rsid w:val="00BE58C7"/>
    <w:rsid w:val="00BF2FBA"/>
    <w:rsid w:val="00C00D1F"/>
    <w:rsid w:val="00C05F7B"/>
    <w:rsid w:val="00C13F95"/>
    <w:rsid w:val="00C37DE6"/>
    <w:rsid w:val="00C42970"/>
    <w:rsid w:val="00C42D02"/>
    <w:rsid w:val="00C43D5E"/>
    <w:rsid w:val="00C45A98"/>
    <w:rsid w:val="00C478CB"/>
    <w:rsid w:val="00C64243"/>
    <w:rsid w:val="00C67C31"/>
    <w:rsid w:val="00C7471D"/>
    <w:rsid w:val="00C84227"/>
    <w:rsid w:val="00C87B88"/>
    <w:rsid w:val="00C902E5"/>
    <w:rsid w:val="00C956E1"/>
    <w:rsid w:val="00CC1847"/>
    <w:rsid w:val="00CC2747"/>
    <w:rsid w:val="00CC69DD"/>
    <w:rsid w:val="00CC7B6E"/>
    <w:rsid w:val="00CD702F"/>
    <w:rsid w:val="00CE1234"/>
    <w:rsid w:val="00CE4E3A"/>
    <w:rsid w:val="00CF6243"/>
    <w:rsid w:val="00D01F0B"/>
    <w:rsid w:val="00D044CA"/>
    <w:rsid w:val="00D2247B"/>
    <w:rsid w:val="00D237FE"/>
    <w:rsid w:val="00D24F75"/>
    <w:rsid w:val="00D52B8D"/>
    <w:rsid w:val="00D5543B"/>
    <w:rsid w:val="00D62A08"/>
    <w:rsid w:val="00D7080E"/>
    <w:rsid w:val="00D73922"/>
    <w:rsid w:val="00D772A8"/>
    <w:rsid w:val="00D8228A"/>
    <w:rsid w:val="00D90827"/>
    <w:rsid w:val="00D95BF3"/>
    <w:rsid w:val="00DB2959"/>
    <w:rsid w:val="00DB5FA1"/>
    <w:rsid w:val="00DC5657"/>
    <w:rsid w:val="00DC594D"/>
    <w:rsid w:val="00DD7301"/>
    <w:rsid w:val="00DE573C"/>
    <w:rsid w:val="00DF2369"/>
    <w:rsid w:val="00E02178"/>
    <w:rsid w:val="00E0559F"/>
    <w:rsid w:val="00E118B9"/>
    <w:rsid w:val="00E20AF1"/>
    <w:rsid w:val="00E2153D"/>
    <w:rsid w:val="00E22DC9"/>
    <w:rsid w:val="00E23F78"/>
    <w:rsid w:val="00E330DA"/>
    <w:rsid w:val="00E431AB"/>
    <w:rsid w:val="00E4622F"/>
    <w:rsid w:val="00E548A7"/>
    <w:rsid w:val="00E671BE"/>
    <w:rsid w:val="00E75AA2"/>
    <w:rsid w:val="00E85679"/>
    <w:rsid w:val="00E868E4"/>
    <w:rsid w:val="00E90A42"/>
    <w:rsid w:val="00E9545E"/>
    <w:rsid w:val="00E97549"/>
    <w:rsid w:val="00EB1DD4"/>
    <w:rsid w:val="00EB314F"/>
    <w:rsid w:val="00EB4589"/>
    <w:rsid w:val="00EC356C"/>
    <w:rsid w:val="00ED3DC1"/>
    <w:rsid w:val="00F04FBC"/>
    <w:rsid w:val="00F07718"/>
    <w:rsid w:val="00F13F1D"/>
    <w:rsid w:val="00F1480F"/>
    <w:rsid w:val="00F20681"/>
    <w:rsid w:val="00F376E3"/>
    <w:rsid w:val="00F42AC8"/>
    <w:rsid w:val="00F51195"/>
    <w:rsid w:val="00F60A5E"/>
    <w:rsid w:val="00F85CF4"/>
    <w:rsid w:val="00F9066C"/>
    <w:rsid w:val="00F92C2D"/>
    <w:rsid w:val="00FA2020"/>
    <w:rsid w:val="00FA4EB0"/>
    <w:rsid w:val="00FB6000"/>
    <w:rsid w:val="00FC3FCD"/>
    <w:rsid w:val="00FC53DC"/>
    <w:rsid w:val="00FD745D"/>
    <w:rsid w:val="00FE0878"/>
    <w:rsid w:val="00FE1673"/>
    <w:rsid w:val="00FE2AAA"/>
    <w:rsid w:val="00FF0BA4"/>
    <w:rsid w:val="00FF233D"/>
    <w:rsid w:val="00FF6E1B"/>
    <w:rsid w:val="29092693"/>
    <w:rsid w:val="2FF70329"/>
    <w:rsid w:val="50355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252186-5551-4D87-AEBF-937EB1721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unhideWhenUsed="1" w:qFormat="1"/>
    <w:lsdException w:name="heading 3" w:semiHidden="1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b/>
      <w:sz w:val="28"/>
      <w:szCs w:val="20"/>
      <w:lang w:val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4">
    <w:name w:val="Emphasis"/>
    <w:qFormat/>
    <w:rPr>
      <w:i/>
      <w:iCs/>
    </w:rPr>
  </w:style>
  <w:style w:type="character" w:styleId="a5">
    <w:name w:val="Hyperlink"/>
    <w:basedOn w:val="a0"/>
    <w:qFormat/>
    <w:rPr>
      <w:rFonts w:cs="Times New Roman"/>
      <w:color w:val="0000FF"/>
      <w:u w:val="single"/>
    </w:rPr>
  </w:style>
  <w:style w:type="character" w:styleId="a6">
    <w:name w:val="Strong"/>
    <w:basedOn w:val="a0"/>
    <w:uiPriority w:val="22"/>
    <w:qFormat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9">
    <w:name w:val="Plain Text"/>
    <w:basedOn w:val="a"/>
    <w:link w:val="aa"/>
    <w:qFormat/>
    <w:rPr>
      <w:rFonts w:ascii="Courier New" w:hAnsi="Courier New"/>
      <w:sz w:val="20"/>
      <w:szCs w:val="20"/>
    </w:rPr>
  </w:style>
  <w:style w:type="paragraph" w:styleId="ab">
    <w:name w:val="annotation text"/>
    <w:basedOn w:val="a"/>
    <w:link w:val="ac"/>
    <w:uiPriority w:val="99"/>
    <w:semiHidden/>
    <w:unhideWhenUsed/>
    <w:qFormat/>
    <w:rPr>
      <w:sz w:val="20"/>
      <w:szCs w:val="20"/>
    </w:rPr>
  </w:style>
  <w:style w:type="paragraph" w:styleId="ad">
    <w:name w:val="Body Text"/>
    <w:basedOn w:val="a"/>
    <w:link w:val="ae"/>
    <w:uiPriority w:val="99"/>
    <w:semiHidden/>
    <w:unhideWhenUsed/>
    <w:qFormat/>
    <w:pPr>
      <w:spacing w:after="120"/>
    </w:pPr>
  </w:style>
  <w:style w:type="paragraph" w:styleId="af">
    <w:name w:val="Body Text Indent"/>
    <w:basedOn w:val="a"/>
    <w:link w:val="af0"/>
    <w:uiPriority w:val="99"/>
    <w:semiHidden/>
    <w:unhideWhenUsed/>
    <w:qFormat/>
    <w:pPr>
      <w:spacing w:after="120"/>
      <w:ind w:left="283"/>
    </w:pPr>
  </w:style>
  <w:style w:type="paragraph" w:styleId="af1">
    <w:name w:val="Title"/>
    <w:basedOn w:val="a"/>
    <w:link w:val="af2"/>
    <w:qFormat/>
    <w:pPr>
      <w:jc w:val="center"/>
    </w:pPr>
    <w:rPr>
      <w:b/>
      <w:szCs w:val="20"/>
      <w:lang w:val="ro-RO"/>
    </w:rPr>
  </w:style>
  <w:style w:type="paragraph" w:styleId="af3">
    <w:name w:val="Normal (Web)"/>
    <w:basedOn w:val="a"/>
    <w:unhideWhenUsed/>
    <w:qFormat/>
    <w:pPr>
      <w:spacing w:before="100" w:beforeAutospacing="1" w:after="100" w:afterAutospacing="1"/>
    </w:pPr>
    <w:rPr>
      <w:lang w:val="ro-RO" w:eastAsia="ro-RO"/>
    </w:rPr>
  </w:style>
  <w:style w:type="paragraph" w:styleId="3">
    <w:name w:val="Body Text 3"/>
    <w:basedOn w:val="a"/>
    <w:link w:val="30"/>
    <w:unhideWhenUsed/>
    <w:qFormat/>
    <w:rPr>
      <w:b/>
      <w:szCs w:val="20"/>
      <w:lang w:val="ro-RO"/>
    </w:rPr>
  </w:style>
  <w:style w:type="table" w:styleId="af4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sz w:val="28"/>
      <w:szCs w:val="20"/>
      <w:lang w:val="en-US" w:eastAsia="ru-RU"/>
    </w:rPr>
  </w:style>
  <w:style w:type="paragraph" w:styleId="af5">
    <w:name w:val="List Paragraph"/>
    <w:basedOn w:val="a"/>
    <w:link w:val="af6"/>
    <w:uiPriority w:val="1"/>
    <w:qFormat/>
    <w:pPr>
      <w:ind w:left="708"/>
    </w:pPr>
  </w:style>
  <w:style w:type="paragraph" w:styleId="af7">
    <w:name w:val="No Spacing"/>
    <w:uiPriority w:val="1"/>
    <w:qFormat/>
    <w:rPr>
      <w:rFonts w:eastAsiaTheme="minorEastAsia"/>
      <w:sz w:val="22"/>
      <w:szCs w:val="22"/>
      <w:lang w:val="en-US"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Без интервала1"/>
    <w:qFormat/>
    <w:rPr>
      <w:rFonts w:ascii="Calibri" w:eastAsia="Calibri" w:hAnsi="Calibri" w:cs="Times New Roman"/>
      <w:sz w:val="22"/>
      <w:szCs w:val="22"/>
      <w:lang w:val="en-US" w:eastAsia="en-US"/>
    </w:rPr>
  </w:style>
  <w:style w:type="character" w:customStyle="1" w:styleId="docheader">
    <w:name w:val="doc_header"/>
    <w:basedOn w:val="a0"/>
  </w:style>
  <w:style w:type="character" w:customStyle="1" w:styleId="40">
    <w:name w:val="Заголовок 4 Знак"/>
    <w:basedOn w:val="a0"/>
    <w:link w:val="4"/>
    <w:uiPriority w:val="9"/>
    <w:qFormat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FontStyle26">
    <w:name w:val="Font Style26"/>
    <w:basedOn w:val="a0"/>
    <w:rPr>
      <w:rFonts w:ascii="Times New Roman" w:hAnsi="Times New Roman" w:cs="Times New Roman"/>
      <w:sz w:val="26"/>
      <w:szCs w:val="26"/>
    </w:rPr>
  </w:style>
  <w:style w:type="character" w:customStyle="1" w:styleId="30">
    <w:name w:val="Основной текст 3 Знак"/>
    <w:basedOn w:val="a0"/>
    <w:link w:val="3"/>
    <w:qFormat/>
    <w:rPr>
      <w:rFonts w:ascii="Times New Roman" w:eastAsia="Times New Roman" w:hAnsi="Times New Roman" w:cs="Times New Roman"/>
      <w:b/>
      <w:sz w:val="24"/>
      <w:szCs w:val="20"/>
      <w:lang w:val="ro-RO" w:eastAsia="ru-RU"/>
    </w:rPr>
  </w:style>
  <w:style w:type="character" w:customStyle="1" w:styleId="apple-converted-space">
    <w:name w:val="apple-converted-space"/>
    <w:basedOn w:val="a0"/>
    <w:qFormat/>
  </w:style>
  <w:style w:type="character" w:customStyle="1" w:styleId="af6">
    <w:name w:val="Абзац списка Знак"/>
    <w:basedOn w:val="a0"/>
    <w:link w:val="af5"/>
    <w:uiPriority w:val="1"/>
    <w:qFormat/>
    <w:locked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Без интервала2"/>
    <w:qFormat/>
    <w:rPr>
      <w:rFonts w:ascii="Calibri" w:eastAsia="Calibri" w:hAnsi="Calibri" w:cs="Times New Roman"/>
      <w:sz w:val="22"/>
      <w:szCs w:val="22"/>
      <w:lang w:val="en-US" w:eastAsia="en-US"/>
    </w:rPr>
  </w:style>
  <w:style w:type="character" w:customStyle="1" w:styleId="ac">
    <w:name w:val="Текст примечания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markedcontent">
    <w:name w:val="markedcontent"/>
    <w:basedOn w:val="a0"/>
  </w:style>
  <w:style w:type="character" w:customStyle="1" w:styleId="af0">
    <w:name w:val="Основной текст с отступом Знак"/>
    <w:basedOn w:val="a0"/>
    <w:link w:val="af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af2">
    <w:name w:val="Название Знак"/>
    <w:basedOn w:val="a0"/>
    <w:link w:val="af1"/>
    <w:qFormat/>
    <w:rPr>
      <w:rFonts w:ascii="Times New Roman" w:eastAsia="Times New Roman" w:hAnsi="Times New Roman" w:cs="Times New Roman"/>
      <w:b/>
      <w:sz w:val="24"/>
      <w:szCs w:val="20"/>
      <w:lang w:val="ro-RO" w:eastAsia="ru-RU"/>
    </w:rPr>
  </w:style>
  <w:style w:type="paragraph" w:customStyle="1" w:styleId="31">
    <w:name w:val="Без интервала3"/>
    <w:qFormat/>
    <w:rPr>
      <w:rFonts w:ascii="Calibri" w:eastAsia="Calibri" w:hAnsi="Calibri" w:cs="Times New Roman"/>
      <w:sz w:val="22"/>
      <w:szCs w:val="22"/>
      <w:lang w:val="en-US" w:eastAsia="en-US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character" w:customStyle="1" w:styleId="ae">
    <w:name w:val="Основной текст Знак"/>
    <w:basedOn w:val="a0"/>
    <w:link w:val="ad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2">
    <w:name w:val="Сетка таблицы1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line="254" w:lineRule="exact"/>
      <w:ind w:left="110"/>
    </w:pPr>
    <w:rPr>
      <w:sz w:val="22"/>
      <w:szCs w:val="22"/>
      <w:lang w:val="ro-RO" w:eastAsia="en-US"/>
    </w:rPr>
  </w:style>
  <w:style w:type="character" w:customStyle="1" w:styleId="aa">
    <w:name w:val="Текст Знак"/>
    <w:basedOn w:val="a0"/>
    <w:link w:val="a9"/>
    <w:qFormat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4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920872-AA1B-4E30-B3F0-D8FFD310B5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630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Mihai Fecăuțeanu</cp:lastModifiedBy>
  <cp:revision>2</cp:revision>
  <cp:lastPrinted>2026-10-05T08:25:00Z</cp:lastPrinted>
  <dcterms:created xsi:type="dcterms:W3CDTF">2026-10-05T08:26:00Z</dcterms:created>
  <dcterms:modified xsi:type="dcterms:W3CDTF">2026-10-05T08:26:00Z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33AEFBB8B51742FD93B80C5F0C092633_13</vt:lpwstr>
  </property>
</Properties>
</file>