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48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6660"/>
        <w:gridCol w:w="1620"/>
      </w:tblGrid>
      <w:tr w:rsidR="00FE7FEE">
        <w:trPr>
          <w:trHeight w:val="1414"/>
        </w:trPr>
        <w:tc>
          <w:tcPr>
            <w:tcW w:w="1368" w:type="dxa"/>
            <w:tcBorders>
              <w:top w:val="nil"/>
              <w:left w:val="nil"/>
              <w:bottom w:val="single" w:sz="4" w:space="0" w:color="auto"/>
              <w:right w:val="nil"/>
            </w:tcBorders>
          </w:tcPr>
          <w:p w:rsidR="00FE7FEE" w:rsidRDefault="00FE7FEE">
            <w:pPr>
              <w:rPr>
                <w:b/>
                <w:sz w:val="28"/>
                <w:lang w:val="en-US"/>
              </w:rPr>
            </w:pPr>
          </w:p>
          <w:p w:rsidR="00FE7FEE" w:rsidRDefault="00DC166C">
            <w:pPr>
              <w:rPr>
                <w:lang w:val="en-US"/>
              </w:rPr>
            </w:pPr>
            <w:r>
              <w:rPr>
                <w:noProof/>
              </w:rPr>
              <w:drawing>
                <wp:anchor distT="0" distB="0" distL="114300" distR="114300" simplePos="0" relativeHeight="251660288" behindDoc="0" locked="0" layoutInCell="1" allowOverlap="0">
                  <wp:simplePos x="0" y="0"/>
                  <wp:positionH relativeFrom="margin">
                    <wp:posOffset>120015</wp:posOffset>
                  </wp:positionH>
                  <wp:positionV relativeFrom="margin">
                    <wp:posOffset>219075</wp:posOffset>
                  </wp:positionV>
                  <wp:extent cx="569595" cy="685800"/>
                  <wp:effectExtent l="1905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8" cstate="print"/>
                          <a:srcRect/>
                          <a:stretch>
                            <a:fillRect/>
                          </a:stretch>
                        </pic:blipFill>
                        <pic:spPr>
                          <a:xfrm>
                            <a:off x="0" y="0"/>
                            <a:ext cx="569595" cy="685800"/>
                          </a:xfrm>
                          <a:prstGeom prst="rect">
                            <a:avLst/>
                          </a:prstGeom>
                          <a:noFill/>
                          <a:ln w="9525">
                            <a:noFill/>
                            <a:miter lim="800000"/>
                            <a:headEnd/>
                            <a:tailEnd/>
                          </a:ln>
                        </pic:spPr>
                      </pic:pic>
                    </a:graphicData>
                  </a:graphic>
                </wp:anchor>
              </w:drawing>
            </w:r>
          </w:p>
        </w:tc>
        <w:tc>
          <w:tcPr>
            <w:tcW w:w="6660" w:type="dxa"/>
            <w:tcBorders>
              <w:top w:val="nil"/>
              <w:left w:val="nil"/>
              <w:bottom w:val="single" w:sz="4" w:space="0" w:color="auto"/>
              <w:right w:val="nil"/>
            </w:tcBorders>
          </w:tcPr>
          <w:p w:rsidR="00FE7FEE" w:rsidRDefault="00FE7FEE">
            <w:pPr>
              <w:pStyle w:val="1"/>
              <w:rPr>
                <w:sz w:val="24"/>
                <w:szCs w:val="24"/>
              </w:rPr>
            </w:pPr>
          </w:p>
          <w:p w:rsidR="00FE7FEE" w:rsidRDefault="00DC166C">
            <w:pPr>
              <w:pStyle w:val="1"/>
              <w:jc w:val="center"/>
              <w:rPr>
                <w:sz w:val="24"/>
                <w:szCs w:val="24"/>
              </w:rPr>
            </w:pPr>
            <w:r>
              <w:rPr>
                <w:sz w:val="24"/>
                <w:szCs w:val="24"/>
              </w:rPr>
              <w:t>REPUBLICA  MOLDOVA</w:t>
            </w:r>
          </w:p>
          <w:p w:rsidR="00FE7FEE" w:rsidRDefault="00DC166C">
            <w:pPr>
              <w:pStyle w:val="1"/>
              <w:jc w:val="center"/>
              <w:rPr>
                <w:sz w:val="24"/>
                <w:szCs w:val="24"/>
              </w:rPr>
            </w:pPr>
            <w:r>
              <w:rPr>
                <w:sz w:val="24"/>
                <w:szCs w:val="24"/>
              </w:rPr>
              <w:t>CONSILIUL  RAIONAL</w:t>
            </w:r>
          </w:p>
          <w:p w:rsidR="00FE7FEE" w:rsidRDefault="00DC166C">
            <w:pPr>
              <w:jc w:val="center"/>
              <w:rPr>
                <w:b/>
                <w:lang w:val="ro-RO"/>
              </w:rPr>
            </w:pPr>
            <w:r>
              <w:rPr>
                <w:b/>
                <w:lang w:val="en-US"/>
              </w:rPr>
              <w:t>S</w:t>
            </w:r>
            <w:r>
              <w:rPr>
                <w:b/>
                <w:lang w:val="ro-RO"/>
              </w:rPr>
              <w:t>ÎNGEREI</w:t>
            </w:r>
          </w:p>
          <w:p w:rsidR="00FE7FEE" w:rsidRDefault="00DC166C">
            <w:pPr>
              <w:jc w:val="center"/>
              <w:rPr>
                <w:lang w:val="en-US"/>
              </w:rPr>
            </w:pPr>
            <w:r>
              <w:rPr>
                <w:b/>
                <w:lang w:val="ro-RO"/>
              </w:rPr>
              <w:t xml:space="preserve">PREŞEDINTELE RAIONULUI </w:t>
            </w:r>
          </w:p>
        </w:tc>
        <w:tc>
          <w:tcPr>
            <w:tcW w:w="1620" w:type="dxa"/>
            <w:tcBorders>
              <w:top w:val="nil"/>
              <w:left w:val="nil"/>
              <w:bottom w:val="single" w:sz="4" w:space="0" w:color="auto"/>
              <w:right w:val="nil"/>
            </w:tcBorders>
          </w:tcPr>
          <w:p w:rsidR="00FE7FEE" w:rsidRDefault="00DC166C">
            <w:pPr>
              <w:jc w:val="center"/>
              <w:rPr>
                <w:lang w:val="en-US"/>
              </w:rPr>
            </w:pPr>
            <w:r>
              <w:rPr>
                <w:noProof/>
              </w:rPr>
              <w:drawing>
                <wp:anchor distT="0" distB="0" distL="114300" distR="114300" simplePos="0" relativeHeight="251659264"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9" cstate="print"/>
                          <a:srcRect/>
                          <a:stretch>
                            <a:fillRect/>
                          </a:stretch>
                        </pic:blipFill>
                        <pic:spPr>
                          <a:xfrm>
                            <a:off x="0" y="0"/>
                            <a:ext cx="687070" cy="866140"/>
                          </a:xfrm>
                          <a:prstGeom prst="rect">
                            <a:avLst/>
                          </a:prstGeom>
                          <a:noFill/>
                          <a:ln w="9525">
                            <a:noFill/>
                            <a:miter lim="800000"/>
                            <a:headEnd/>
                            <a:tailEnd/>
                          </a:ln>
                        </pic:spPr>
                      </pic:pic>
                    </a:graphicData>
                  </a:graphic>
                </wp:anchor>
              </w:drawing>
            </w:r>
          </w:p>
          <w:p w:rsidR="00FE7FEE" w:rsidRDefault="00DC166C">
            <w:pPr>
              <w:jc w:val="center"/>
              <w:rPr>
                <w:b/>
                <w:sz w:val="18"/>
                <w:szCs w:val="18"/>
                <w:lang w:val="en-US"/>
              </w:rPr>
            </w:pPr>
            <w:r>
              <w:rPr>
                <w:b/>
                <w:noProof/>
                <w:sz w:val="20"/>
                <w:szCs w:val="20"/>
              </w:rPr>
              <w:drawing>
                <wp:inline distT="0" distB="0" distL="0" distR="0">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0" cstate="print"/>
                          <a:srcRect/>
                          <a:stretch>
                            <a:fillRect/>
                          </a:stretch>
                        </pic:blipFill>
                        <pic:spPr>
                          <a:xfrm>
                            <a:off x="0" y="0"/>
                            <a:ext cx="496570" cy="626110"/>
                          </a:xfrm>
                          <a:prstGeom prst="rect">
                            <a:avLst/>
                          </a:prstGeom>
                          <a:noFill/>
                          <a:ln w="9525">
                            <a:noFill/>
                            <a:miter lim="800000"/>
                            <a:headEnd/>
                            <a:tailEnd/>
                          </a:ln>
                        </pic:spPr>
                      </pic:pic>
                    </a:graphicData>
                  </a:graphic>
                </wp:inline>
              </w:drawing>
            </w:r>
          </w:p>
          <w:p w:rsidR="00FE7FEE" w:rsidRDefault="00FE7FEE">
            <w:pPr>
              <w:jc w:val="right"/>
              <w:rPr>
                <w:sz w:val="18"/>
                <w:szCs w:val="18"/>
                <w:lang w:val="en-US"/>
              </w:rPr>
            </w:pPr>
          </w:p>
        </w:tc>
      </w:tr>
      <w:tr w:rsidR="00FE7FEE" w:rsidRPr="00D471A5">
        <w:trPr>
          <w:trHeight w:val="165"/>
        </w:trPr>
        <w:tc>
          <w:tcPr>
            <w:tcW w:w="9648" w:type="dxa"/>
            <w:gridSpan w:val="3"/>
            <w:tcBorders>
              <w:top w:val="single" w:sz="4" w:space="0" w:color="auto"/>
              <w:left w:val="nil"/>
              <w:bottom w:val="thinThickSmallGap" w:sz="24" w:space="0" w:color="auto"/>
              <w:right w:val="nil"/>
            </w:tcBorders>
          </w:tcPr>
          <w:p w:rsidR="00FE7FEE" w:rsidRDefault="00DC166C">
            <w:pPr>
              <w:rPr>
                <w:b/>
                <w:lang w:val="ro-RO"/>
              </w:rPr>
            </w:pPr>
            <w:r>
              <w:rPr>
                <w:b/>
                <w:lang w:val="ro-RO"/>
              </w:rPr>
              <w:t>Secția Juridică și Resurse Umane</w:t>
            </w:r>
          </w:p>
        </w:tc>
      </w:tr>
    </w:tbl>
    <w:p w:rsidR="00FE7FEE" w:rsidRDefault="00DC166C">
      <w:pPr>
        <w:spacing w:line="276" w:lineRule="auto"/>
        <w:rPr>
          <w:b/>
          <w:sz w:val="22"/>
          <w:szCs w:val="22"/>
          <w:lang w:val="en-US"/>
        </w:rPr>
      </w:pPr>
      <w:r>
        <w:rPr>
          <w:b/>
          <w:sz w:val="22"/>
          <w:szCs w:val="22"/>
          <w:lang w:val="en-US"/>
        </w:rPr>
        <w:t>Nr. ________________</w:t>
      </w:r>
    </w:p>
    <w:p w:rsidR="00FE7FEE" w:rsidRDefault="00DC166C">
      <w:pPr>
        <w:spacing w:line="276" w:lineRule="auto"/>
        <w:rPr>
          <w:sz w:val="22"/>
          <w:szCs w:val="22"/>
          <w:lang w:val="ro-RO"/>
        </w:rPr>
      </w:pPr>
      <w:r>
        <w:rPr>
          <w:b/>
          <w:sz w:val="22"/>
          <w:szCs w:val="22"/>
          <w:lang w:val="en-US"/>
        </w:rPr>
        <w:t>din ________________2026</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p>
    <w:p w:rsidR="00FE7FEE" w:rsidRDefault="00DC166C">
      <w:pPr>
        <w:rPr>
          <w:sz w:val="22"/>
          <w:szCs w:val="22"/>
          <w:lang w:val="ro-RO"/>
        </w:rPr>
      </w:pPr>
      <w:r>
        <w:rPr>
          <w:sz w:val="22"/>
          <w:szCs w:val="22"/>
          <w:lang w:val="ro-RO"/>
        </w:rPr>
        <w:t xml:space="preserve">SECRETARĂ                                                                                                             De acord şi dispun elaborarea  </w:t>
      </w:r>
    </w:p>
    <w:p w:rsidR="00FE7FEE" w:rsidRDefault="00DC166C">
      <w:pPr>
        <w:rPr>
          <w:sz w:val="22"/>
          <w:szCs w:val="22"/>
          <w:lang w:val="ro-RO"/>
        </w:rPr>
      </w:pPr>
      <w:r>
        <w:rPr>
          <w:sz w:val="22"/>
          <w:szCs w:val="22"/>
          <w:lang w:val="ro-RO"/>
        </w:rPr>
        <w:t xml:space="preserve">a Consiliului raional                                                                                                                proiectului de decizie </w:t>
      </w:r>
    </w:p>
    <w:p w:rsidR="00FE7FEE" w:rsidRDefault="00DC166C">
      <w:pPr>
        <w:jc w:val="both"/>
        <w:rPr>
          <w:sz w:val="22"/>
          <w:szCs w:val="22"/>
          <w:lang w:val="ro-RO"/>
        </w:rPr>
      </w:pPr>
      <w:r>
        <w:rPr>
          <w:b/>
          <w:sz w:val="22"/>
          <w:szCs w:val="22"/>
          <w:lang w:val="ro-RO"/>
        </w:rPr>
        <w:t xml:space="preserve">Mihaela LUCA                                                                                       </w:t>
      </w:r>
      <w:r>
        <w:rPr>
          <w:b/>
          <w:sz w:val="22"/>
          <w:szCs w:val="22"/>
          <w:lang w:val="ro-RO"/>
        </w:rPr>
        <w:t xml:space="preserve">                                        PREŞEDINTE,</w:t>
      </w:r>
    </w:p>
    <w:p w:rsidR="00FE7FEE" w:rsidRDefault="00DC166C">
      <w:pPr>
        <w:tabs>
          <w:tab w:val="left" w:pos="7088"/>
          <w:tab w:val="left" w:pos="7230"/>
        </w:tabs>
        <w:jc w:val="right"/>
        <w:rPr>
          <w:b/>
          <w:sz w:val="22"/>
          <w:szCs w:val="22"/>
          <w:lang w:val="ro-RO"/>
        </w:rPr>
      </w:pPr>
      <w:r>
        <w:rPr>
          <w:sz w:val="22"/>
          <w:szCs w:val="22"/>
          <w:lang w:val="ro-RO"/>
        </w:rPr>
        <w:t xml:space="preserve">                                                                                                                                             </w:t>
      </w:r>
      <w:r>
        <w:rPr>
          <w:b/>
          <w:sz w:val="22"/>
          <w:szCs w:val="22"/>
          <w:lang w:val="ro-RO"/>
        </w:rPr>
        <w:t>Cristian CAINARIAN</w:t>
      </w:r>
      <w:r>
        <w:rPr>
          <w:sz w:val="22"/>
          <w:szCs w:val="22"/>
          <w:lang w:val="ro-RO"/>
        </w:rPr>
        <w:tab/>
        <w:t xml:space="preserve">                </w:t>
      </w:r>
      <w:r>
        <w:rPr>
          <w:b/>
          <w:sz w:val="22"/>
          <w:szCs w:val="22"/>
          <w:lang w:val="ro-RO"/>
        </w:rPr>
        <w:t xml:space="preserve">        </w:t>
      </w:r>
    </w:p>
    <w:p w:rsidR="00FE7FEE" w:rsidRDefault="00FE7FEE">
      <w:pPr>
        <w:contextualSpacing/>
        <w:jc w:val="center"/>
        <w:rPr>
          <w:b/>
          <w:sz w:val="22"/>
          <w:szCs w:val="22"/>
          <w:lang w:val="ro-RO"/>
        </w:rPr>
      </w:pPr>
    </w:p>
    <w:p w:rsidR="00FE7FEE" w:rsidRDefault="00FE7FEE">
      <w:pPr>
        <w:contextualSpacing/>
        <w:jc w:val="center"/>
        <w:rPr>
          <w:b/>
          <w:sz w:val="22"/>
          <w:szCs w:val="22"/>
          <w:lang w:val="ro-RO"/>
        </w:rPr>
      </w:pPr>
    </w:p>
    <w:p w:rsidR="00FE7FEE" w:rsidRDefault="00DC166C">
      <w:pPr>
        <w:contextualSpacing/>
        <w:jc w:val="center"/>
        <w:rPr>
          <w:b/>
          <w:lang w:val="ro-RO"/>
        </w:rPr>
      </w:pPr>
      <w:r>
        <w:rPr>
          <w:b/>
          <w:lang w:val="ro-RO"/>
        </w:rPr>
        <w:t xml:space="preserve">NOTĂ DE </w:t>
      </w:r>
      <w:r>
        <w:rPr>
          <w:b/>
          <w:lang w:val="ro-RO"/>
        </w:rPr>
        <w:t>FUNDAMENTARE</w:t>
      </w:r>
    </w:p>
    <w:p w:rsidR="00FE7FEE" w:rsidRDefault="00DC166C">
      <w:pPr>
        <w:spacing w:after="200" w:line="276" w:lineRule="auto"/>
        <w:ind w:left="720"/>
        <w:contextualSpacing/>
        <w:jc w:val="center"/>
        <w:rPr>
          <w:b/>
          <w:lang w:val="en-US"/>
        </w:rPr>
      </w:pPr>
      <w:r>
        <w:rPr>
          <w:b/>
          <w:lang w:val="en-US"/>
        </w:rPr>
        <w:t>Cu privire la aplicarea sancțiunii disciplinare</w:t>
      </w:r>
    </w:p>
    <w:tbl>
      <w:tblPr>
        <w:tblW w:w="511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6"/>
      </w:tblGrid>
      <w:tr w:rsidR="00FE7FEE" w:rsidRPr="00D471A5">
        <w:tc>
          <w:tcPr>
            <w:tcW w:w="5000" w:type="pct"/>
          </w:tcPr>
          <w:p w:rsidR="00FE7FEE" w:rsidRDefault="00DC166C">
            <w:pPr>
              <w:numPr>
                <w:ilvl w:val="3"/>
                <w:numId w:val="1"/>
              </w:numPr>
              <w:tabs>
                <w:tab w:val="clear" w:pos="2880"/>
                <w:tab w:val="left" w:pos="284"/>
                <w:tab w:val="left" w:pos="1196"/>
              </w:tabs>
              <w:ind w:left="0" w:firstLine="0"/>
              <w:jc w:val="both"/>
              <w:rPr>
                <w:b/>
                <w:lang w:val="en-US"/>
              </w:rPr>
            </w:pPr>
            <w:r>
              <w:rPr>
                <w:b/>
                <w:lang w:val="en-US"/>
              </w:rPr>
              <w:t>Denumirea autorului şi, după caz, a participanţilor la elaborarea proiectului</w:t>
            </w:r>
          </w:p>
        </w:tc>
      </w:tr>
      <w:tr w:rsidR="00FE7FEE" w:rsidRPr="00D471A5">
        <w:tc>
          <w:tcPr>
            <w:tcW w:w="5000" w:type="pct"/>
          </w:tcPr>
          <w:p w:rsidR="00FE7FEE" w:rsidRDefault="00DC166C">
            <w:pPr>
              <w:ind w:left="33"/>
              <w:jc w:val="both"/>
              <w:rPr>
                <w:b/>
                <w:iCs/>
                <w:lang w:val="en-US"/>
              </w:rPr>
            </w:pPr>
            <w:r>
              <w:rPr>
                <w:lang w:val="en-US"/>
              </w:rPr>
              <w:t>Proiectul de decizie „ Cu privire la aplicarea sancțiunii disciplinare</w:t>
            </w:r>
            <w:r>
              <w:rPr>
                <w:rFonts w:eastAsiaTheme="minorHAnsi"/>
                <w:lang w:val="en-US" w:eastAsia="en-US"/>
              </w:rPr>
              <w:t>”</w:t>
            </w:r>
            <w:r>
              <w:rPr>
                <w:lang w:val="en-US"/>
              </w:rPr>
              <w:t>,</w:t>
            </w:r>
            <w:r>
              <w:rPr>
                <w:bCs/>
                <w:iCs/>
                <w:color w:val="C00000"/>
                <w:lang w:val="ro-RO"/>
              </w:rPr>
              <w:t xml:space="preserve"> </w:t>
            </w:r>
            <w:r>
              <w:rPr>
                <w:lang w:val="en-US"/>
              </w:rPr>
              <w:t>este elaborat de către Secția Juridică și R</w:t>
            </w:r>
            <w:r>
              <w:rPr>
                <w:lang w:val="en-US"/>
              </w:rPr>
              <w:t xml:space="preserve">esurse Umane din cadrul Aparatului Președintelui raionului Sîngerei, avînd ca baza Propunerea </w:t>
            </w:r>
            <w:r>
              <w:rPr>
                <w:iCs/>
                <w:lang w:val="en-US"/>
              </w:rPr>
              <w:t>Comisiei de anchetă pentru elucidarea tuturor circumstanțelor presupuselor abateri disciplinare comise de către șefii IMSP „Centre de Sănătate”</w:t>
            </w:r>
            <w:r>
              <w:rPr>
                <w:lang w:val="en-US"/>
              </w:rPr>
              <w:t>.</w:t>
            </w:r>
          </w:p>
        </w:tc>
      </w:tr>
      <w:tr w:rsidR="00FE7FEE" w:rsidRPr="00D471A5">
        <w:tc>
          <w:tcPr>
            <w:tcW w:w="5000" w:type="pct"/>
          </w:tcPr>
          <w:p w:rsidR="00FE7FEE" w:rsidRDefault="00DC166C">
            <w:pPr>
              <w:tabs>
                <w:tab w:val="left" w:pos="884"/>
                <w:tab w:val="left" w:pos="1196"/>
              </w:tabs>
              <w:jc w:val="both"/>
              <w:rPr>
                <w:b/>
                <w:lang w:val="en-US"/>
              </w:rPr>
            </w:pPr>
            <w:r>
              <w:rPr>
                <w:b/>
                <w:lang w:val="en-US"/>
              </w:rPr>
              <w:t>2. Condiţiile ce</w:t>
            </w:r>
            <w:r>
              <w:rPr>
                <w:b/>
                <w:lang w:val="en-US"/>
              </w:rPr>
              <w:t xml:space="preserve"> au impus elaborarea proiectului de act normativ şi finalităţile urmărite</w:t>
            </w:r>
          </w:p>
        </w:tc>
      </w:tr>
      <w:tr w:rsidR="00FE7FEE" w:rsidRPr="00D471A5">
        <w:trPr>
          <w:trHeight w:val="255"/>
        </w:trPr>
        <w:tc>
          <w:tcPr>
            <w:tcW w:w="5000" w:type="pct"/>
            <w:tcBorders>
              <w:bottom w:val="single" w:sz="4" w:space="0" w:color="auto"/>
            </w:tcBorders>
          </w:tcPr>
          <w:p w:rsidR="00FE7FEE" w:rsidRDefault="00DC166C">
            <w:pPr>
              <w:tabs>
                <w:tab w:val="left" w:pos="318"/>
                <w:tab w:val="left" w:pos="449"/>
              </w:tabs>
              <w:jc w:val="both"/>
              <w:rPr>
                <w:lang w:val="en-US"/>
              </w:rPr>
            </w:pPr>
            <w:r>
              <w:rPr>
                <w:lang w:val="ro-RO"/>
              </w:rPr>
              <w:t>Proiectul de decizie este întemeiat în baza art. 43 alin. (2) al Legii nr. 436/2006 privind administraţia publică locală;</w:t>
            </w:r>
            <w:r>
              <w:rPr>
                <w:lang w:val="en-US"/>
              </w:rPr>
              <w:t xml:space="preserve"> art. 206 alin. (1) lit. b), art. 207 alin. (1), art. 208, a</w:t>
            </w:r>
            <w:r>
              <w:rPr>
                <w:lang w:val="en-US"/>
              </w:rPr>
              <w:t>rt. 210 alin. (1) din Codul muncii al Republicii Moldova</w:t>
            </w:r>
            <w:r>
              <w:rPr>
                <w:bCs/>
                <w:iCs/>
                <w:lang w:val="en-US"/>
              </w:rPr>
              <w:t xml:space="preserve">, </w:t>
            </w:r>
            <w:r>
              <w:rPr>
                <w:lang w:val="en-US"/>
              </w:rPr>
              <w:t>art. 13 din Legea nr. 263/2005 cu privire la drepturile și responsabilitățile pacientului, pct. 8, 9 și 12 din Instrucțiunea privind determinarea gradului de dizabilitate, aprobată prin Hotărârea Gu</w:t>
            </w:r>
            <w:r>
              <w:rPr>
                <w:lang w:val="en-US"/>
              </w:rPr>
              <w:t xml:space="preserve">vernului nr. 357/2018 pentru aprobarea Regulamentului privind determinarea dizabilității, </w:t>
            </w:r>
            <w:r>
              <w:rPr>
                <w:bCs/>
                <w:iCs/>
                <w:lang w:val="en-US"/>
              </w:rPr>
              <w:t xml:space="preserve"> precum și în baza </w:t>
            </w:r>
            <w:r>
              <w:rPr>
                <w:lang w:val="en-US"/>
              </w:rPr>
              <w:t xml:space="preserve">Propunerii </w:t>
            </w:r>
            <w:r>
              <w:rPr>
                <w:iCs/>
                <w:lang w:val="en-US"/>
              </w:rPr>
              <w:t>Comisiei de anchetă pentru elucidarea tuturor circumstanțelor presupuselor abateri disciplinare comise de către șefii IMSP „Centre de Să</w:t>
            </w:r>
            <w:r>
              <w:rPr>
                <w:iCs/>
                <w:lang w:val="en-US"/>
              </w:rPr>
              <w:t>nătate”.</w:t>
            </w:r>
          </w:p>
        </w:tc>
      </w:tr>
      <w:tr w:rsidR="00FE7FEE" w:rsidRPr="00D471A5">
        <w:tc>
          <w:tcPr>
            <w:tcW w:w="5000" w:type="pct"/>
          </w:tcPr>
          <w:p w:rsidR="00FE7FEE" w:rsidRDefault="00DC166C">
            <w:pPr>
              <w:tabs>
                <w:tab w:val="left" w:pos="884"/>
                <w:tab w:val="left" w:pos="1196"/>
              </w:tabs>
              <w:jc w:val="both"/>
              <w:rPr>
                <w:b/>
                <w:lang w:val="en-US"/>
              </w:rPr>
            </w:pPr>
            <w:r>
              <w:rPr>
                <w:b/>
                <w:lang w:val="en-US"/>
              </w:rPr>
              <w:t>3. Obiectivele urmărite și soluțiile propuse</w:t>
            </w:r>
          </w:p>
        </w:tc>
      </w:tr>
      <w:tr w:rsidR="00FE7FEE" w:rsidRPr="00D471A5">
        <w:tc>
          <w:tcPr>
            <w:tcW w:w="5000" w:type="pct"/>
          </w:tcPr>
          <w:p w:rsidR="00FE7FEE" w:rsidRDefault="00DC166C">
            <w:pPr>
              <w:jc w:val="both"/>
              <w:rPr>
                <w:lang w:val="en-US"/>
              </w:rPr>
            </w:pPr>
            <w:r>
              <w:rPr>
                <w:lang w:val="en-US"/>
              </w:rPr>
              <w:t xml:space="preserve">       Necesitatea elaborării proiectului de decizie rezultă din Propunerea Comisiei de anchetă pentru elucidarea tuturor circumstanțelor presupuselor abateri disciplinare comise de către șefii IMSP „</w:t>
            </w:r>
            <w:r>
              <w:rPr>
                <w:lang w:val="en-US"/>
              </w:rPr>
              <w:t>Centre de Sănătate”.</w:t>
            </w:r>
          </w:p>
          <w:p w:rsidR="00FE7FEE" w:rsidRDefault="00DC166C">
            <w:pPr>
              <w:jc w:val="both"/>
              <w:rPr>
                <w:lang w:val="en-US"/>
              </w:rPr>
            </w:pPr>
            <w:r>
              <w:rPr>
                <w:lang w:val="en-US"/>
              </w:rPr>
              <w:t xml:space="preserve">      Comisia de anchetă adduce la cunoștință că: la data de 01.10.2026 și 07.10.2026, au parvenit spre examinare sesizările Ministerului Muncii și Protecției Sociale al Republicii Moldova și ale Ministerului Sănătății al Republicii Mo</w:t>
            </w:r>
            <w:r>
              <w:rPr>
                <w:lang w:val="en-US"/>
              </w:rPr>
              <w:t xml:space="preserve">ldova privind presupusa încălcare a drepturilor pacientului  </w:t>
            </w:r>
            <w:r>
              <w:rPr>
                <w:lang w:val="ro-RO"/>
              </w:rPr>
              <w:t>xxxxx</w:t>
            </w:r>
            <w:r>
              <w:rPr>
                <w:lang w:val="en-US"/>
              </w:rPr>
              <w:t xml:space="preserve"> de către domnul </w:t>
            </w:r>
            <w:r>
              <w:rPr>
                <w:lang w:val="ro-RO"/>
              </w:rPr>
              <w:t>XXXXXX</w:t>
            </w:r>
            <w:r>
              <w:rPr>
                <w:lang w:val="en-US"/>
              </w:rPr>
              <w:t>,</w:t>
            </w:r>
            <w:r>
              <w:rPr>
                <w:lang w:val="ro-RO"/>
              </w:rPr>
              <w:t xml:space="preserve"> XXXX</w:t>
            </w:r>
            <w:r>
              <w:rPr>
                <w:lang w:val="en-US"/>
              </w:rPr>
              <w:t xml:space="preserve"> al </w:t>
            </w:r>
            <w:r w:rsidR="00D471A5">
              <w:rPr>
                <w:lang w:val="en-US"/>
              </w:rPr>
              <w:t>XXXXXXXXXX</w:t>
            </w:r>
            <w:r>
              <w:rPr>
                <w:lang w:val="en-US"/>
              </w:rPr>
              <w:t>”, prin care s-a solicitat inițierea unei anchete de serviciu în privința acestuia.</w:t>
            </w:r>
          </w:p>
          <w:p w:rsidR="00FE7FEE" w:rsidRDefault="00DC166C">
            <w:pPr>
              <w:jc w:val="both"/>
              <w:rPr>
                <w:lang w:val="en-US"/>
              </w:rPr>
            </w:pPr>
            <w:r>
              <w:rPr>
                <w:lang w:val="en-US"/>
              </w:rPr>
              <w:t xml:space="preserve">       În vederea elucidării tuturor circumstanțelor descrise în sesizări, Comisia de anchetă, constituită în baza Deciziei Consiliului raional Sîngerei nr. 7/7 din 26.09.2024 „Cu privire la constituirea Comisiei de anchetă pentru elucidarea tuturor circum</w:t>
            </w:r>
            <w:r>
              <w:rPr>
                <w:lang w:val="en-US"/>
              </w:rPr>
              <w:t>stanțelor presupuselor abateri disciplinare comise de către șefii IMSP „Centre de Sănătate”, a dispus inițierea anchetei de serviciu, care s-a desfășurat în perioada 08.10.2026–20.10.2026.</w:t>
            </w:r>
            <w:r>
              <w:rPr>
                <w:lang w:val="en-US"/>
              </w:rPr>
              <w:br/>
              <w:t xml:space="preserve">       În urma desfășurării anchetei de serviciu și a audierii domn</w:t>
            </w:r>
            <w:r>
              <w:rPr>
                <w:lang w:val="en-US"/>
              </w:rPr>
              <w:t xml:space="preserve">ului </w:t>
            </w:r>
            <w:r>
              <w:rPr>
                <w:lang w:val="ro-RO"/>
              </w:rPr>
              <w:t>XXXXXX</w:t>
            </w:r>
            <w:r>
              <w:rPr>
                <w:lang w:val="en-US"/>
              </w:rPr>
              <w:t xml:space="preserve"> cu privire la presupusa încălcare a drepturilor pacientului </w:t>
            </w:r>
            <w:r>
              <w:rPr>
                <w:lang w:val="ro-RO"/>
              </w:rPr>
              <w:t>XXXXXX</w:t>
            </w:r>
            <w:r>
              <w:rPr>
                <w:lang w:val="en-US"/>
              </w:rPr>
              <w:t>, faptele descrise în sesizările ministerelor s-au confirmat.</w:t>
            </w:r>
          </w:p>
          <w:p w:rsidR="00FE7FEE" w:rsidRDefault="00DC166C">
            <w:pPr>
              <w:jc w:val="both"/>
              <w:rPr>
                <w:lang w:val="en-US"/>
              </w:rPr>
            </w:pPr>
            <w:r>
              <w:rPr>
                <w:lang w:val="en-US"/>
              </w:rPr>
              <w:t xml:space="preserve">       Astfel, prin acțiunile sale, domnul </w:t>
            </w:r>
            <w:r>
              <w:rPr>
                <w:lang w:val="ro-RO"/>
              </w:rPr>
              <w:t>XXXXXX</w:t>
            </w:r>
            <w:r>
              <w:rPr>
                <w:lang w:val="en-US"/>
              </w:rPr>
              <w:t xml:space="preserve">, </w:t>
            </w:r>
            <w:r>
              <w:rPr>
                <w:lang w:val="ro-RO"/>
              </w:rPr>
              <w:t>XXXXXX</w:t>
            </w:r>
            <w:r>
              <w:rPr>
                <w:lang w:val="en-US"/>
              </w:rPr>
              <w:t xml:space="preserve"> al </w:t>
            </w:r>
            <w:r w:rsidR="00D471A5">
              <w:rPr>
                <w:lang w:val="en-US"/>
              </w:rPr>
              <w:t>XXXXXXXXXXXXXXXX</w:t>
            </w:r>
            <w:bookmarkStart w:id="0" w:name="_GoBack"/>
            <w:bookmarkEnd w:id="0"/>
            <w:r>
              <w:rPr>
                <w:lang w:val="en-US"/>
              </w:rPr>
              <w:t>, a încălcat prevederile art. 13 din Legea nr. 263/2005 cu privire la drepturile și responsabilitățile pacientului, precum și ale pct. 8, 9 și 12 din Instrucțiunea privind determinarea gradului de dizabilitate, aprobat</w:t>
            </w:r>
            <w:r>
              <w:rPr>
                <w:lang w:val="en-US"/>
              </w:rPr>
              <w:t>ă prin Hotărârea Guvernului nr. 357/2018 pentru aprobarea Regulamentului privind determinarea dizabilității, prin nerespectarea drepturilor pacientului și refuzul neîntemeiat al eliberării formularului F-088/e, necesar pentru inițierea procedurii de reexam</w:t>
            </w:r>
            <w:r>
              <w:rPr>
                <w:lang w:val="en-US"/>
              </w:rPr>
              <w:t>inare a gradului de dizabilitate, fapt care a condus la suspendarea poliței de asigurare medicală și a pensiei de dizabilitate a pacientului.</w:t>
            </w:r>
            <w:r>
              <w:rPr>
                <w:lang w:val="en-US"/>
              </w:rPr>
              <w:br/>
              <w:t xml:space="preserve">       În contextul celor expuse și în baza constatărilor consemnate în Procesul-verbal nr. 2 din 20.10.2026, Comi</w:t>
            </w:r>
            <w:r>
              <w:rPr>
                <w:lang w:val="en-US"/>
              </w:rPr>
              <w:t xml:space="preserve">sia de anchetă propune Consiliului raional Sîngerei, în calitate de angajator, aplicarea domnului </w:t>
            </w:r>
            <w:r>
              <w:rPr>
                <w:lang w:val="ro-RO"/>
              </w:rPr>
              <w:t>XXXXXX</w:t>
            </w:r>
            <w:r>
              <w:rPr>
                <w:lang w:val="en-US"/>
              </w:rPr>
              <w:t>,</w:t>
            </w:r>
            <w:r>
              <w:rPr>
                <w:lang w:val="ro-RO"/>
              </w:rPr>
              <w:t>XXXXXX</w:t>
            </w:r>
            <w:r>
              <w:rPr>
                <w:lang w:val="en-US"/>
              </w:rPr>
              <w:t xml:space="preserve"> al </w:t>
            </w:r>
            <w:r w:rsidR="00D471A5">
              <w:rPr>
                <w:lang w:val="en-US"/>
              </w:rPr>
              <w:t>XXXXXXXXXXXX</w:t>
            </w:r>
            <w:r>
              <w:rPr>
                <w:lang w:val="en-US"/>
              </w:rPr>
              <w:t>”, a sancțiunii disciplinare prevăzute la art. 206 alin. (1) lit. b) din Codul muncii al Republicii Moldova,</w:t>
            </w:r>
            <w:r>
              <w:rPr>
                <w:lang w:val="en-US"/>
              </w:rPr>
              <w:t xml:space="preserve"> sub formă de „mustrare”.</w:t>
            </w:r>
          </w:p>
          <w:p w:rsidR="00FE7FEE" w:rsidRDefault="00DC166C">
            <w:pPr>
              <w:jc w:val="both"/>
              <w:rPr>
                <w:lang w:val="en-US"/>
              </w:rPr>
            </w:pPr>
            <w:r>
              <w:rPr>
                <w:lang w:val="en-US"/>
              </w:rPr>
              <w:lastRenderedPageBreak/>
              <w:t xml:space="preserve">       Adoptarea proiectului de decizie urmărește responsabilizarea persoanei vizate, prevenirea unor situații similare și asigurarea respectării drepturilor pacienților, precum și a obligațiilor profesionale ce revin personalului</w:t>
            </w:r>
            <w:r>
              <w:rPr>
                <w:lang w:val="en-US"/>
              </w:rPr>
              <w:t xml:space="preserve"> de conducere din cadrul instituțiilor medico-sanitare publice.</w:t>
            </w:r>
          </w:p>
        </w:tc>
      </w:tr>
      <w:tr w:rsidR="00FE7FEE">
        <w:tc>
          <w:tcPr>
            <w:tcW w:w="5000" w:type="pct"/>
          </w:tcPr>
          <w:p w:rsidR="00FE7FEE" w:rsidRDefault="00DC166C">
            <w:pPr>
              <w:tabs>
                <w:tab w:val="left" w:pos="884"/>
                <w:tab w:val="left" w:pos="1196"/>
              </w:tabs>
              <w:jc w:val="both"/>
              <w:rPr>
                <w:b/>
                <w:lang w:val="en-US"/>
              </w:rPr>
            </w:pPr>
            <w:r>
              <w:rPr>
                <w:b/>
                <w:bCs/>
                <w:lang w:val="ro-RO"/>
              </w:rPr>
              <w:lastRenderedPageBreak/>
              <w:t>4. Analiza impactului de reglementare</w:t>
            </w:r>
          </w:p>
        </w:tc>
      </w:tr>
      <w:tr w:rsidR="00FE7FEE" w:rsidRPr="00D471A5">
        <w:tc>
          <w:tcPr>
            <w:tcW w:w="5000" w:type="pct"/>
          </w:tcPr>
          <w:p w:rsidR="00FE7FEE" w:rsidRDefault="00DC166C">
            <w:pPr>
              <w:tabs>
                <w:tab w:val="left" w:pos="851"/>
              </w:tabs>
              <w:contextualSpacing/>
              <w:jc w:val="both"/>
              <w:rPr>
                <w:lang w:val="en-US"/>
              </w:rPr>
            </w:pPr>
            <w:r>
              <w:rPr>
                <w:lang w:val="en-US"/>
              </w:rPr>
              <w:t>Proiectul de decizie nu necesită alocarea mijloacelor financiare suplimentare din bugetul raional.</w:t>
            </w:r>
          </w:p>
        </w:tc>
      </w:tr>
      <w:tr w:rsidR="00FE7FEE" w:rsidRPr="00D471A5">
        <w:tc>
          <w:tcPr>
            <w:tcW w:w="5000" w:type="pct"/>
          </w:tcPr>
          <w:p w:rsidR="00FE7FEE" w:rsidRDefault="00DC166C">
            <w:pPr>
              <w:tabs>
                <w:tab w:val="left" w:pos="884"/>
                <w:tab w:val="left" w:pos="1196"/>
              </w:tabs>
              <w:jc w:val="both"/>
              <w:rPr>
                <w:b/>
                <w:lang w:val="en-US"/>
              </w:rPr>
            </w:pPr>
            <w:r>
              <w:rPr>
                <w:b/>
                <w:bCs/>
                <w:lang w:val="ro-RO"/>
              </w:rPr>
              <w:t xml:space="preserve">5. Compatibilitatea proiectului actului normativ cu </w:t>
            </w:r>
            <w:r>
              <w:rPr>
                <w:b/>
                <w:bCs/>
                <w:lang w:val="ro-RO"/>
              </w:rPr>
              <w:t>legislația UE</w:t>
            </w:r>
            <w:r>
              <w:rPr>
                <w:b/>
                <w:lang w:val="en-US"/>
              </w:rPr>
              <w:t xml:space="preserve">- </w:t>
            </w:r>
            <w:r>
              <w:rPr>
                <w:lang w:val="ro-RO"/>
              </w:rPr>
              <w:t>„Nu este aplicabil”.</w:t>
            </w:r>
          </w:p>
        </w:tc>
      </w:tr>
      <w:tr w:rsidR="00FE7FEE" w:rsidRPr="00D471A5">
        <w:trPr>
          <w:trHeight w:val="223"/>
        </w:trPr>
        <w:tc>
          <w:tcPr>
            <w:tcW w:w="5000" w:type="pct"/>
          </w:tcPr>
          <w:p w:rsidR="00FE7FEE" w:rsidRDefault="00DC166C">
            <w:pPr>
              <w:tabs>
                <w:tab w:val="left" w:pos="884"/>
                <w:tab w:val="left" w:pos="1196"/>
              </w:tabs>
              <w:jc w:val="both"/>
              <w:rPr>
                <w:lang w:val="en-US"/>
              </w:rPr>
            </w:pPr>
            <w:r>
              <w:rPr>
                <w:b/>
                <w:bCs/>
                <w:lang w:val="ro-RO" w:eastAsia="en-US"/>
              </w:rPr>
              <w:t>6. Avizarea și consultarea publică a proiectului actului normativ</w:t>
            </w:r>
            <w:r>
              <w:rPr>
                <w:b/>
                <w:color w:val="000000"/>
                <w:lang w:val="en-US"/>
              </w:rPr>
              <w:t xml:space="preserve">- </w:t>
            </w:r>
            <w:r>
              <w:rPr>
                <w:color w:val="000000"/>
                <w:lang w:val="ro-RO"/>
              </w:rPr>
              <w:t>„Nu este aplicabil”.</w:t>
            </w:r>
          </w:p>
        </w:tc>
      </w:tr>
      <w:tr w:rsidR="00FE7FEE" w:rsidRPr="00D471A5">
        <w:trPr>
          <w:trHeight w:val="223"/>
        </w:trPr>
        <w:tc>
          <w:tcPr>
            <w:tcW w:w="5000" w:type="pct"/>
          </w:tcPr>
          <w:p w:rsidR="00FE7FEE" w:rsidRDefault="00DC166C">
            <w:pPr>
              <w:tabs>
                <w:tab w:val="left" w:pos="884"/>
                <w:tab w:val="left" w:pos="1196"/>
              </w:tabs>
              <w:jc w:val="both"/>
              <w:rPr>
                <w:lang w:val="en-US"/>
              </w:rPr>
            </w:pPr>
            <w:r>
              <w:rPr>
                <w:b/>
                <w:bCs/>
                <w:lang w:val="ro-RO" w:eastAsia="en-US"/>
              </w:rPr>
              <w:t xml:space="preserve">7. Concluziile expertizelor </w:t>
            </w:r>
            <w:r>
              <w:rPr>
                <w:b/>
                <w:color w:val="000000"/>
                <w:lang w:val="en-US"/>
              </w:rPr>
              <w:t xml:space="preserve">- </w:t>
            </w:r>
            <w:r>
              <w:rPr>
                <w:color w:val="000000"/>
                <w:lang w:val="ro-RO"/>
              </w:rPr>
              <w:t>„Nu este aplicabil”.</w:t>
            </w:r>
          </w:p>
        </w:tc>
      </w:tr>
      <w:tr w:rsidR="00FE7FEE" w:rsidRPr="00D471A5">
        <w:trPr>
          <w:trHeight w:val="223"/>
        </w:trPr>
        <w:tc>
          <w:tcPr>
            <w:tcW w:w="5000" w:type="pct"/>
          </w:tcPr>
          <w:p w:rsidR="00FE7FEE" w:rsidRDefault="00DC166C">
            <w:pPr>
              <w:tabs>
                <w:tab w:val="left" w:pos="884"/>
                <w:tab w:val="left" w:pos="1196"/>
              </w:tabs>
              <w:jc w:val="both"/>
              <w:rPr>
                <w:b/>
                <w:bCs/>
                <w:lang w:val="ro-RO" w:eastAsia="en-US"/>
              </w:rPr>
            </w:pPr>
            <w:r>
              <w:rPr>
                <w:b/>
                <w:bCs/>
                <w:lang w:val="ro-RO" w:eastAsia="en-US"/>
              </w:rPr>
              <w:t>8. Modul de încorporare a actului în cadrul normativ existent</w:t>
            </w:r>
          </w:p>
        </w:tc>
      </w:tr>
      <w:tr w:rsidR="00FE7FEE" w:rsidRPr="00D471A5">
        <w:trPr>
          <w:trHeight w:val="223"/>
        </w:trPr>
        <w:tc>
          <w:tcPr>
            <w:tcW w:w="5000" w:type="pct"/>
          </w:tcPr>
          <w:p w:rsidR="00FE7FEE" w:rsidRDefault="00DC166C">
            <w:pPr>
              <w:jc w:val="both"/>
              <w:rPr>
                <w:lang w:val="en-US"/>
              </w:rPr>
            </w:pPr>
            <w:r>
              <w:rPr>
                <w:lang w:val="en-US"/>
              </w:rPr>
              <w:t xml:space="preserve">Prezentul </w:t>
            </w:r>
            <w:r>
              <w:rPr>
                <w:lang w:val="en-US"/>
              </w:rPr>
              <w:t>proiect nu necesită modificarea sau elaborarea unor acte normative noi.</w:t>
            </w:r>
          </w:p>
        </w:tc>
      </w:tr>
      <w:tr w:rsidR="00FE7FEE" w:rsidRPr="00D471A5">
        <w:trPr>
          <w:trHeight w:val="223"/>
        </w:trPr>
        <w:tc>
          <w:tcPr>
            <w:tcW w:w="5000" w:type="pct"/>
          </w:tcPr>
          <w:p w:rsidR="00FE7FEE" w:rsidRDefault="00DC166C">
            <w:pPr>
              <w:tabs>
                <w:tab w:val="left" w:pos="884"/>
                <w:tab w:val="left" w:pos="1196"/>
              </w:tabs>
              <w:jc w:val="both"/>
              <w:rPr>
                <w:b/>
                <w:bCs/>
                <w:lang w:val="ro-RO" w:eastAsia="en-US"/>
              </w:rPr>
            </w:pPr>
            <w:r>
              <w:rPr>
                <w:b/>
                <w:bCs/>
                <w:lang w:val="ro-RO" w:eastAsia="en-US"/>
              </w:rPr>
              <w:t>9. Măsurile necesare pentru implementarea prevederilor proiectului actului normativ</w:t>
            </w:r>
            <w:r>
              <w:rPr>
                <w:b/>
                <w:color w:val="000000"/>
                <w:lang w:val="en-US"/>
              </w:rPr>
              <w:t xml:space="preserve">- </w:t>
            </w:r>
            <w:r>
              <w:rPr>
                <w:color w:val="000000"/>
                <w:lang w:val="ro-RO"/>
              </w:rPr>
              <w:t>„Nu este aplicabil”.</w:t>
            </w:r>
          </w:p>
        </w:tc>
      </w:tr>
    </w:tbl>
    <w:p w:rsidR="00FE7FEE" w:rsidRDefault="00DC166C">
      <w:pPr>
        <w:contextualSpacing/>
        <w:jc w:val="right"/>
        <w:rPr>
          <w:lang w:val="it-IT"/>
        </w:rPr>
      </w:pPr>
      <w:r>
        <w:rPr>
          <w:lang w:val="en-US"/>
        </w:rPr>
        <w:t>Întocmit</w:t>
      </w:r>
    </w:p>
    <w:p w:rsidR="00FE7FEE" w:rsidRDefault="00DC166C">
      <w:pPr>
        <w:contextualSpacing/>
        <w:jc w:val="right"/>
        <w:rPr>
          <w:b/>
          <w:lang w:val="it-IT"/>
        </w:rPr>
      </w:pPr>
      <w:r>
        <w:rPr>
          <w:b/>
          <w:lang w:val="en-US"/>
        </w:rPr>
        <w:t>Secția Juridică și Resurse Umane</w:t>
      </w:r>
    </w:p>
    <w:p w:rsidR="00FE7FEE" w:rsidRDefault="00DC166C">
      <w:pPr>
        <w:contextualSpacing/>
        <w:jc w:val="right"/>
        <w:rPr>
          <w:lang w:val="it-IT"/>
        </w:rPr>
      </w:pPr>
      <w:r>
        <w:rPr>
          <w:lang w:val="it-IT"/>
        </w:rPr>
        <w:t>Aliona CRĂCIUN</w:t>
      </w:r>
    </w:p>
    <w:p w:rsidR="00FE7FEE" w:rsidRDefault="00DC166C">
      <w:pPr>
        <w:jc w:val="right"/>
        <w:rPr>
          <w:sz w:val="22"/>
          <w:szCs w:val="22"/>
          <w:lang w:val="en-US"/>
        </w:rPr>
      </w:pPr>
      <w:r>
        <w:rPr>
          <w:sz w:val="22"/>
          <w:szCs w:val="22"/>
          <w:lang w:val="it-IT"/>
        </w:rPr>
        <w:t xml:space="preserve">              _____</w:t>
      </w:r>
      <w:r>
        <w:rPr>
          <w:sz w:val="22"/>
          <w:szCs w:val="22"/>
          <w:lang w:val="it-IT"/>
        </w:rPr>
        <w:t>________________________</w:t>
      </w: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p w:rsidR="00FE7FEE" w:rsidRDefault="00FE7FEE">
      <w:pPr>
        <w:tabs>
          <w:tab w:val="left" w:pos="3420"/>
        </w:tabs>
        <w:rPr>
          <w:lang w:val="en-U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129"/>
        <w:gridCol w:w="1384"/>
      </w:tblGrid>
      <w:tr w:rsidR="00FE7FEE">
        <w:trPr>
          <w:trHeight w:val="1710"/>
        </w:trPr>
        <w:tc>
          <w:tcPr>
            <w:tcW w:w="1701" w:type="dxa"/>
            <w:tcBorders>
              <w:top w:val="nil"/>
              <w:left w:val="nil"/>
              <w:bottom w:val="single" w:sz="4" w:space="0" w:color="auto"/>
              <w:right w:val="nil"/>
            </w:tcBorders>
          </w:tcPr>
          <w:p w:rsidR="00FE7FEE" w:rsidRDefault="00DC166C">
            <w:pPr>
              <w:tabs>
                <w:tab w:val="left" w:pos="597"/>
                <w:tab w:val="left" w:pos="822"/>
              </w:tabs>
              <w:contextualSpacing/>
              <w:jc w:val="center"/>
              <w:rPr>
                <w:b/>
                <w:sz w:val="28"/>
              </w:rPr>
            </w:pPr>
            <w:r>
              <w:rPr>
                <w:noProof/>
              </w:rPr>
              <w:lastRenderedPageBreak/>
              <w:drawing>
                <wp:anchor distT="0" distB="0" distL="114300" distR="114300" simplePos="0" relativeHeight="251661312" behindDoc="0" locked="0" layoutInCell="1" allowOverlap="0">
                  <wp:simplePos x="0" y="0"/>
                  <wp:positionH relativeFrom="margin">
                    <wp:posOffset>75565</wp:posOffset>
                  </wp:positionH>
                  <wp:positionV relativeFrom="margin">
                    <wp:posOffset>172085</wp:posOffset>
                  </wp:positionV>
                  <wp:extent cx="676275" cy="819150"/>
                  <wp:effectExtent l="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
                          <pic:cNvPicPr>
                            <a:picLocks noChangeAspect="1" noChangeArrowheads="1"/>
                          </pic:cNvPicPr>
                        </pic:nvPicPr>
                        <pic:blipFill>
                          <a:blip r:embed="rId8" cstate="print"/>
                          <a:srcRect/>
                          <a:stretch>
                            <a:fillRect/>
                          </a:stretch>
                        </pic:blipFill>
                        <pic:spPr>
                          <a:xfrm>
                            <a:off x="0" y="0"/>
                            <a:ext cx="676275" cy="819150"/>
                          </a:xfrm>
                          <a:prstGeom prst="rect">
                            <a:avLst/>
                          </a:prstGeom>
                          <a:noFill/>
                        </pic:spPr>
                      </pic:pic>
                    </a:graphicData>
                  </a:graphic>
                </wp:anchor>
              </w:drawing>
            </w:r>
            <w:r>
              <w:br w:type="page"/>
            </w:r>
          </w:p>
          <w:p w:rsidR="00FE7FEE" w:rsidRDefault="00FE7FEE">
            <w:pPr>
              <w:contextualSpacing/>
            </w:pPr>
          </w:p>
        </w:tc>
        <w:tc>
          <w:tcPr>
            <w:tcW w:w="6129" w:type="dxa"/>
            <w:tcBorders>
              <w:top w:val="nil"/>
              <w:left w:val="nil"/>
              <w:bottom w:val="single" w:sz="4" w:space="0" w:color="auto"/>
              <w:right w:val="nil"/>
            </w:tcBorders>
          </w:tcPr>
          <w:p w:rsidR="00FE7FEE" w:rsidRDefault="00FE7FEE">
            <w:pPr>
              <w:contextualSpacing/>
              <w:rPr>
                <w:lang w:val="ro-RO"/>
              </w:rPr>
            </w:pPr>
          </w:p>
          <w:p w:rsidR="00FE7FEE" w:rsidRDefault="00DC166C">
            <w:pPr>
              <w:pStyle w:val="1"/>
              <w:contextualSpacing/>
              <w:jc w:val="center"/>
              <w:rPr>
                <w:rFonts w:eastAsiaTheme="minorEastAsia"/>
                <w:sz w:val="24"/>
                <w:szCs w:val="24"/>
                <w:lang w:val="it-IT"/>
              </w:rPr>
            </w:pPr>
            <w:r>
              <w:rPr>
                <w:rFonts w:eastAsiaTheme="minorEastAsia"/>
                <w:sz w:val="24"/>
                <w:szCs w:val="24"/>
                <w:lang w:val="it-IT"/>
              </w:rPr>
              <w:t>REPUBLICA  MOLDOVA</w:t>
            </w:r>
          </w:p>
          <w:p w:rsidR="00FE7FEE" w:rsidRDefault="00FE7FEE">
            <w:pPr>
              <w:pStyle w:val="1"/>
              <w:contextualSpacing/>
              <w:jc w:val="center"/>
              <w:rPr>
                <w:rFonts w:eastAsiaTheme="minorEastAsia"/>
                <w:sz w:val="24"/>
                <w:szCs w:val="24"/>
                <w:lang w:val="it-IT"/>
              </w:rPr>
            </w:pPr>
          </w:p>
          <w:p w:rsidR="00FE7FEE" w:rsidRDefault="00DC166C">
            <w:pPr>
              <w:pStyle w:val="1"/>
              <w:contextualSpacing/>
              <w:jc w:val="center"/>
              <w:rPr>
                <w:rFonts w:eastAsiaTheme="minorEastAsia"/>
                <w:sz w:val="24"/>
                <w:szCs w:val="24"/>
                <w:lang w:val="it-IT"/>
              </w:rPr>
            </w:pPr>
            <w:r>
              <w:rPr>
                <w:rFonts w:eastAsiaTheme="minorEastAsia"/>
                <w:sz w:val="24"/>
                <w:szCs w:val="24"/>
                <w:lang w:val="it-IT"/>
              </w:rPr>
              <w:t>CONSILIUL  RAIONAL</w:t>
            </w:r>
          </w:p>
          <w:p w:rsidR="00FE7FEE" w:rsidRDefault="00DC166C">
            <w:pPr>
              <w:pStyle w:val="1"/>
              <w:contextualSpacing/>
              <w:jc w:val="center"/>
              <w:rPr>
                <w:rFonts w:eastAsiaTheme="minorEastAsia"/>
                <w:sz w:val="24"/>
                <w:szCs w:val="24"/>
                <w:lang w:val="it-IT"/>
              </w:rPr>
            </w:pPr>
            <w:r>
              <w:rPr>
                <w:sz w:val="24"/>
                <w:szCs w:val="24"/>
                <w:lang w:val="it-IT"/>
              </w:rPr>
              <w:t>S</w:t>
            </w:r>
            <w:r>
              <w:rPr>
                <w:sz w:val="24"/>
                <w:szCs w:val="24"/>
                <w:lang w:val="ro-RO"/>
              </w:rPr>
              <w:t>ÎNGEREI</w:t>
            </w:r>
          </w:p>
        </w:tc>
        <w:tc>
          <w:tcPr>
            <w:tcW w:w="1384" w:type="dxa"/>
            <w:tcBorders>
              <w:top w:val="nil"/>
              <w:left w:val="nil"/>
              <w:bottom w:val="single" w:sz="4" w:space="0" w:color="auto"/>
              <w:right w:val="nil"/>
            </w:tcBorders>
          </w:tcPr>
          <w:p w:rsidR="00FE7FEE" w:rsidRDefault="00DC166C">
            <w:pPr>
              <w:contextualSpacing/>
              <w:jc w:val="center"/>
              <w:rPr>
                <w:lang w:val="it-IT"/>
              </w:rPr>
            </w:pPr>
            <w:r>
              <w:rPr>
                <w:noProof/>
              </w:rPr>
              <w:drawing>
                <wp:anchor distT="0" distB="0" distL="114300" distR="114300" simplePos="0" relativeHeight="251662336"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
                          <pic:cNvPicPr>
                            <a:picLocks noChangeAspect="1" noChangeArrowheads="1"/>
                          </pic:cNvPicPr>
                        </pic:nvPicPr>
                        <pic:blipFill>
                          <a:blip r:embed="rId9" cstate="print"/>
                          <a:srcRect/>
                          <a:stretch>
                            <a:fillRect/>
                          </a:stretch>
                        </pic:blipFill>
                        <pic:spPr>
                          <a:xfrm>
                            <a:off x="0" y="0"/>
                            <a:ext cx="687070" cy="866140"/>
                          </a:xfrm>
                          <a:prstGeom prst="rect">
                            <a:avLst/>
                          </a:prstGeom>
                          <a:noFill/>
                        </pic:spPr>
                      </pic:pic>
                    </a:graphicData>
                  </a:graphic>
                </wp:anchor>
              </w:drawing>
            </w:r>
          </w:p>
          <w:p w:rsidR="00FE7FEE" w:rsidRDefault="00DC166C">
            <w:pPr>
              <w:contextualSpacing/>
              <w:jc w:val="center"/>
              <w:rPr>
                <w:b/>
                <w:sz w:val="18"/>
                <w:szCs w:val="18"/>
                <w:lang w:val="ro-RO"/>
              </w:rPr>
            </w:pPr>
            <w:r>
              <w:rPr>
                <w:b/>
                <w:noProof/>
                <w:sz w:val="20"/>
                <w:szCs w:val="20"/>
              </w:rPr>
              <w:drawing>
                <wp:inline distT="0" distB="0" distL="0" distR="0">
                  <wp:extent cx="670560" cy="85852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pic:cNvPicPr>
                            <a:picLocks noChangeAspect="1" noChangeArrowheads="1"/>
                          </pic:cNvPicPr>
                        </pic:nvPicPr>
                        <pic:blipFill>
                          <a:blip r:embed="rId11" cstate="print"/>
                          <a:srcRect/>
                          <a:stretch>
                            <a:fillRect/>
                          </a:stretch>
                        </pic:blipFill>
                        <pic:spPr>
                          <a:xfrm>
                            <a:off x="0" y="0"/>
                            <a:ext cx="700988" cy="897705"/>
                          </a:xfrm>
                          <a:prstGeom prst="rect">
                            <a:avLst/>
                          </a:prstGeom>
                          <a:noFill/>
                          <a:ln w="9525">
                            <a:noFill/>
                            <a:miter lim="800000"/>
                            <a:headEnd/>
                            <a:tailEnd/>
                          </a:ln>
                        </pic:spPr>
                      </pic:pic>
                    </a:graphicData>
                  </a:graphic>
                </wp:inline>
              </w:drawing>
            </w:r>
          </w:p>
          <w:p w:rsidR="00FE7FEE" w:rsidRDefault="00FE7FEE">
            <w:pPr>
              <w:contextualSpacing/>
              <w:jc w:val="right"/>
              <w:rPr>
                <w:sz w:val="18"/>
                <w:szCs w:val="18"/>
              </w:rPr>
            </w:pPr>
          </w:p>
        </w:tc>
      </w:tr>
      <w:tr w:rsidR="00FE7FEE" w:rsidRPr="00D471A5">
        <w:trPr>
          <w:trHeight w:val="83"/>
        </w:trPr>
        <w:tc>
          <w:tcPr>
            <w:tcW w:w="9214" w:type="dxa"/>
            <w:gridSpan w:val="3"/>
            <w:tcBorders>
              <w:top w:val="single" w:sz="4" w:space="0" w:color="auto"/>
              <w:left w:val="nil"/>
              <w:bottom w:val="thinThickSmallGap" w:sz="24" w:space="0" w:color="auto"/>
              <w:right w:val="nil"/>
            </w:tcBorders>
          </w:tcPr>
          <w:p w:rsidR="00FE7FEE" w:rsidRDefault="00DC166C">
            <w:pPr>
              <w:contextualSpacing/>
              <w:rPr>
                <w:b/>
                <w:lang w:val="ro-RO"/>
              </w:rPr>
            </w:pPr>
            <w:r>
              <w:rPr>
                <w:b/>
                <w:lang w:val="ro-RO"/>
              </w:rPr>
              <w:t>Secția Juridică și Resurse Umane</w:t>
            </w:r>
          </w:p>
        </w:tc>
      </w:tr>
    </w:tbl>
    <w:p w:rsidR="00FE7FEE" w:rsidRDefault="00DC166C">
      <w:pPr>
        <w:pStyle w:val="1"/>
        <w:jc w:val="center"/>
        <w:rPr>
          <w:bCs/>
          <w:sz w:val="22"/>
          <w:szCs w:val="22"/>
          <w:lang w:val="fr-FR"/>
        </w:rPr>
      </w:pPr>
      <w:r>
        <w:rPr>
          <w:bCs/>
          <w:sz w:val="22"/>
          <w:szCs w:val="22"/>
          <w:lang w:val="fr-FR"/>
        </w:rPr>
        <w:t>PROIECT DE DECIZIE Nr. _____</w:t>
      </w:r>
    </w:p>
    <w:p w:rsidR="00FE7FEE" w:rsidRDefault="00DC166C">
      <w:pPr>
        <w:jc w:val="center"/>
        <w:rPr>
          <w:b/>
          <w:bCs/>
          <w:sz w:val="22"/>
          <w:szCs w:val="22"/>
          <w:lang w:val="ro-RO"/>
        </w:rPr>
      </w:pPr>
      <w:r>
        <w:rPr>
          <w:b/>
          <w:bCs/>
          <w:sz w:val="22"/>
          <w:szCs w:val="22"/>
          <w:lang w:val="ro-RO"/>
        </w:rPr>
        <w:t>din “______”____________ 2026</w:t>
      </w:r>
    </w:p>
    <w:p w:rsidR="00FE7FEE" w:rsidRDefault="00DC166C">
      <w:pPr>
        <w:spacing w:line="360" w:lineRule="auto"/>
        <w:jc w:val="center"/>
        <w:rPr>
          <w:b/>
          <w:bCs/>
          <w:sz w:val="22"/>
          <w:szCs w:val="22"/>
          <w:lang w:val="ro-RO"/>
        </w:rPr>
      </w:pPr>
      <w:r>
        <w:rPr>
          <w:b/>
          <w:bCs/>
          <w:sz w:val="22"/>
          <w:szCs w:val="22"/>
          <w:lang w:val="ro-RO"/>
        </w:rPr>
        <w:t>or. Sîngerei</w:t>
      </w:r>
    </w:p>
    <w:p w:rsidR="00FE7FEE" w:rsidRDefault="00FE7FEE">
      <w:pPr>
        <w:spacing w:after="200" w:line="276" w:lineRule="auto"/>
        <w:ind w:left="720" w:hanging="720"/>
        <w:contextualSpacing/>
        <w:rPr>
          <w:b/>
          <w:sz w:val="22"/>
          <w:szCs w:val="28"/>
          <w:lang w:val="en-US"/>
        </w:rPr>
      </w:pPr>
    </w:p>
    <w:p w:rsidR="00FE7FEE" w:rsidRDefault="00DC166C">
      <w:pPr>
        <w:tabs>
          <w:tab w:val="left" w:pos="0"/>
        </w:tabs>
        <w:spacing w:after="200" w:line="276" w:lineRule="auto"/>
        <w:ind w:left="720" w:hanging="720"/>
        <w:contextualSpacing/>
        <w:rPr>
          <w:b/>
          <w:lang w:val="en-US"/>
        </w:rPr>
      </w:pPr>
      <w:r>
        <w:rPr>
          <w:b/>
          <w:lang w:val="en-US"/>
        </w:rPr>
        <w:t xml:space="preserve">Cu privire la aplicarea </w:t>
      </w:r>
      <w:r>
        <w:rPr>
          <w:b/>
          <w:lang w:val="en-US"/>
        </w:rPr>
        <w:t>sancțiunii disciplinare</w:t>
      </w:r>
    </w:p>
    <w:p w:rsidR="00FE7FEE" w:rsidRDefault="00FE7FEE">
      <w:pPr>
        <w:jc w:val="both"/>
        <w:rPr>
          <w:b/>
          <w:lang w:val="en-US"/>
        </w:rPr>
      </w:pPr>
    </w:p>
    <w:p w:rsidR="00FE7FEE" w:rsidRDefault="00DC166C">
      <w:pPr>
        <w:spacing w:line="360" w:lineRule="auto"/>
        <w:jc w:val="both"/>
        <w:rPr>
          <w:rFonts w:eastAsiaTheme="minorHAnsi"/>
          <w:lang w:val="en-US" w:eastAsia="en-US"/>
        </w:rPr>
      </w:pPr>
      <w:r>
        <w:rPr>
          <w:lang w:val="en-US"/>
        </w:rPr>
        <w:tab/>
        <w:t>Având în vedere: Nota de fundamentare „</w:t>
      </w:r>
      <w:r>
        <w:rPr>
          <w:rFonts w:eastAsiaTheme="minorHAnsi"/>
          <w:lang w:val="en-US" w:eastAsia="en-US"/>
        </w:rPr>
        <w:t>Cu privire la aplicarea sancțiunii disciplinare”</w:t>
      </w:r>
      <w:r>
        <w:rPr>
          <w:bCs/>
          <w:lang w:val="en-US"/>
        </w:rPr>
        <w:t>,</w:t>
      </w:r>
    </w:p>
    <w:p w:rsidR="00FE7FEE" w:rsidRDefault="00DC166C">
      <w:pPr>
        <w:pStyle w:val="af0"/>
        <w:spacing w:line="360" w:lineRule="auto"/>
        <w:jc w:val="both"/>
        <w:rPr>
          <w:rFonts w:ascii="Times New Roman" w:hAnsi="Times New Roman" w:cs="Times New Roman"/>
          <w:sz w:val="24"/>
          <w:szCs w:val="24"/>
        </w:rPr>
      </w:pPr>
      <w:r>
        <w:rPr>
          <w:rFonts w:ascii="Times New Roman" w:eastAsia="Calibri" w:hAnsi="Times New Roman" w:cs="Times New Roman"/>
          <w:bCs/>
          <w:sz w:val="24"/>
          <w:szCs w:val="24"/>
          <w:lang w:val="ro-RO"/>
        </w:rPr>
        <w:tab/>
      </w:r>
      <w:r>
        <w:rPr>
          <w:rStyle w:val="80"/>
          <w:rFonts w:ascii="Times New Roman" w:hAnsi="Times New Roman" w:cs="Times New Roman"/>
          <w:color w:val="auto"/>
          <w:sz w:val="24"/>
          <w:szCs w:val="24"/>
        </w:rPr>
        <w:t xml:space="preserve">În temeiul </w:t>
      </w:r>
      <w:r>
        <w:rPr>
          <w:rFonts w:ascii="Times New Roman" w:hAnsi="Times New Roman" w:cs="Times New Roman"/>
          <w:sz w:val="24"/>
          <w:szCs w:val="24"/>
          <w:lang w:val="ro-RO"/>
        </w:rPr>
        <w:t>art. 43 alin. (2) al Legii nr. 436/2006 privind administraţia publică locală;</w:t>
      </w:r>
      <w:r>
        <w:rPr>
          <w:rFonts w:ascii="Times New Roman" w:hAnsi="Times New Roman" w:cs="Times New Roman"/>
          <w:sz w:val="24"/>
          <w:szCs w:val="24"/>
        </w:rPr>
        <w:t xml:space="preserve"> art. 206 alin. (1) lit. b), art. 207 alin. (1), art</w:t>
      </w:r>
      <w:r>
        <w:rPr>
          <w:rFonts w:ascii="Times New Roman" w:hAnsi="Times New Roman" w:cs="Times New Roman"/>
          <w:sz w:val="24"/>
          <w:szCs w:val="24"/>
        </w:rPr>
        <w:t>. 208, art. 210 alin. (1) din Codul muncii al Republicii Moldova</w:t>
      </w:r>
      <w:r>
        <w:rPr>
          <w:rFonts w:ascii="Times New Roman" w:hAnsi="Times New Roman" w:cs="Times New Roman"/>
          <w:bCs/>
          <w:iCs/>
          <w:sz w:val="24"/>
          <w:szCs w:val="24"/>
        </w:rPr>
        <w:t xml:space="preserve">, </w:t>
      </w:r>
      <w:r>
        <w:rPr>
          <w:rFonts w:ascii="Times New Roman" w:hAnsi="Times New Roman" w:cs="Times New Roman"/>
          <w:sz w:val="24"/>
          <w:szCs w:val="24"/>
        </w:rPr>
        <w:t>art. 13 din Legea nr. 263/2005 cu privire la drepturile și responsabilitățile pacientului, pct. 8, 9 și 12 din Instrucțiunea privind determinarea gradului de dizabilitate, aprobată prin Hotă</w:t>
      </w:r>
      <w:r>
        <w:rPr>
          <w:rFonts w:ascii="Times New Roman" w:hAnsi="Times New Roman" w:cs="Times New Roman"/>
          <w:sz w:val="24"/>
          <w:szCs w:val="24"/>
        </w:rPr>
        <w:t xml:space="preserve">rârea Guvernului nr. 357/2018 pentru aprobarea Regulamentului privind determinarea dizabilității, </w:t>
      </w:r>
      <w:r>
        <w:rPr>
          <w:rFonts w:ascii="Times New Roman" w:hAnsi="Times New Roman" w:cs="Times New Roman"/>
          <w:bCs/>
          <w:iCs/>
          <w:sz w:val="24"/>
          <w:szCs w:val="24"/>
        </w:rPr>
        <w:t xml:space="preserve"> precum și în baza </w:t>
      </w:r>
      <w:r>
        <w:rPr>
          <w:rFonts w:ascii="Times New Roman" w:hAnsi="Times New Roman" w:cs="Times New Roman"/>
          <w:sz w:val="24"/>
          <w:szCs w:val="24"/>
        </w:rPr>
        <w:t xml:space="preserve">Propunerii </w:t>
      </w:r>
      <w:r>
        <w:rPr>
          <w:rFonts w:ascii="Times New Roman" w:hAnsi="Times New Roman" w:cs="Times New Roman"/>
          <w:iCs/>
          <w:sz w:val="24"/>
          <w:szCs w:val="24"/>
        </w:rPr>
        <w:t>Comisiei de anchetă pentru elucidarea tuturor circumstanțelor presupuselor abateri disciplinare comise de către șefii IMSP „Cent</w:t>
      </w:r>
      <w:r>
        <w:rPr>
          <w:rFonts w:ascii="Times New Roman" w:hAnsi="Times New Roman" w:cs="Times New Roman"/>
          <w:iCs/>
          <w:sz w:val="24"/>
          <w:szCs w:val="24"/>
        </w:rPr>
        <w:t>re de Sănătate”</w:t>
      </w:r>
      <w:r>
        <w:rPr>
          <w:rFonts w:ascii="Times New Roman" w:hAnsi="Times New Roman" w:cs="Times New Roman"/>
          <w:bCs/>
          <w:iCs/>
          <w:sz w:val="24"/>
          <w:szCs w:val="24"/>
        </w:rPr>
        <w:t>,</w:t>
      </w:r>
    </w:p>
    <w:p w:rsidR="00FE7FEE" w:rsidRDefault="00DC166C">
      <w:pPr>
        <w:pStyle w:val="af0"/>
        <w:spacing w:line="360" w:lineRule="auto"/>
        <w:ind w:firstLine="708"/>
        <w:jc w:val="both"/>
        <w:rPr>
          <w:rFonts w:ascii="Times New Roman" w:hAnsi="Times New Roman" w:cs="Times New Roman"/>
          <w:sz w:val="24"/>
          <w:szCs w:val="24"/>
          <w:lang w:val="ro-RO"/>
        </w:rPr>
      </w:pPr>
      <w:r>
        <w:rPr>
          <w:rFonts w:ascii="Times New Roman" w:hAnsi="Times New Roman" w:cs="Times New Roman"/>
          <w:sz w:val="24"/>
          <w:szCs w:val="24"/>
        </w:rPr>
        <w:t>Consiliul raional,</w:t>
      </w:r>
    </w:p>
    <w:p w:rsidR="00FE7FEE" w:rsidRDefault="00DC166C">
      <w:pPr>
        <w:spacing w:line="360" w:lineRule="auto"/>
        <w:jc w:val="center"/>
        <w:rPr>
          <w:b/>
          <w:bCs/>
          <w:lang w:val="ro-RO"/>
        </w:rPr>
      </w:pPr>
      <w:r>
        <w:rPr>
          <w:b/>
          <w:bCs/>
          <w:lang w:val="ro-RO"/>
        </w:rPr>
        <w:t>DECIDE:</w:t>
      </w:r>
    </w:p>
    <w:p w:rsidR="00FE7FEE" w:rsidRDefault="00DC166C">
      <w:pPr>
        <w:pStyle w:val="ae"/>
        <w:numPr>
          <w:ilvl w:val="0"/>
          <w:numId w:val="2"/>
        </w:numPr>
        <w:tabs>
          <w:tab w:val="left" w:pos="0"/>
          <w:tab w:val="left" w:pos="993"/>
        </w:tabs>
        <w:spacing w:line="360" w:lineRule="auto"/>
        <w:ind w:left="0" w:firstLine="567"/>
        <w:jc w:val="both"/>
        <w:rPr>
          <w:shd w:val="clear" w:color="auto" w:fill="FFFFFF"/>
          <w:lang w:val="ro-RO"/>
        </w:rPr>
      </w:pPr>
      <w:r>
        <w:rPr>
          <w:lang w:val="ro-RO"/>
        </w:rPr>
        <w:t xml:space="preserve">Se aplică </w:t>
      </w:r>
      <w:r>
        <w:rPr>
          <w:lang w:val="ro-RO"/>
        </w:rPr>
        <w:t>XXXXXX</w:t>
      </w:r>
      <w:r>
        <w:rPr>
          <w:lang w:val="ro-RO"/>
        </w:rPr>
        <w:t xml:space="preserve"> - </w:t>
      </w:r>
      <w:r>
        <w:rPr>
          <w:lang w:val="ro-RO"/>
        </w:rPr>
        <w:t>XXXXXX</w:t>
      </w:r>
      <w:r>
        <w:rPr>
          <w:lang w:val="ro-RO"/>
        </w:rPr>
        <w:t xml:space="preserve"> </w:t>
      </w:r>
      <w:r w:rsidR="00D471A5">
        <w:rPr>
          <w:lang w:val="ro-RO"/>
        </w:rPr>
        <w:t>XXXX</w:t>
      </w:r>
      <w:r>
        <w:rPr>
          <w:lang w:val="ro-RO"/>
        </w:rPr>
        <w:t xml:space="preserve"> </w:t>
      </w:r>
      <w:r w:rsidR="00D471A5">
        <w:rPr>
          <w:lang w:val="ro-RO"/>
        </w:rPr>
        <w:t>XXXXXXXXXXXXX,</w:t>
      </w:r>
      <w:r>
        <w:rPr>
          <w:lang w:val="ro-RO"/>
        </w:rPr>
        <w:t xml:space="preserve"> sancțiunea disciplinară ,,mustrare” pentru</w:t>
      </w:r>
      <w:r>
        <w:rPr>
          <w:shd w:val="clear" w:color="auto" w:fill="FFFFFF"/>
          <w:lang w:val="ro-RO"/>
        </w:rPr>
        <w:t> </w:t>
      </w:r>
      <w:r>
        <w:rPr>
          <w:bCs/>
          <w:lang w:val="en-US"/>
        </w:rPr>
        <w:t>încălcarea drepturilor pacientului</w:t>
      </w:r>
      <w:r>
        <w:rPr>
          <w:shd w:val="clear" w:color="auto" w:fill="FFFFFF"/>
          <w:lang w:val="ro-RO"/>
        </w:rPr>
        <w:t xml:space="preserve"> și ne</w:t>
      </w:r>
      <w:r>
        <w:rPr>
          <w:bCs/>
          <w:lang w:val="en-US"/>
        </w:rPr>
        <w:t>respectarea procedurii de eliberare a formularului F-088/e.</w:t>
      </w:r>
    </w:p>
    <w:p w:rsidR="00FE7FEE" w:rsidRDefault="00DC166C">
      <w:pPr>
        <w:pStyle w:val="ae"/>
        <w:numPr>
          <w:ilvl w:val="0"/>
          <w:numId w:val="2"/>
        </w:numPr>
        <w:tabs>
          <w:tab w:val="left" w:pos="0"/>
          <w:tab w:val="left" w:pos="993"/>
        </w:tabs>
        <w:spacing w:line="360" w:lineRule="auto"/>
        <w:ind w:left="0" w:firstLine="567"/>
        <w:jc w:val="both"/>
        <w:rPr>
          <w:shd w:val="clear" w:color="auto" w:fill="FFFFFF"/>
          <w:lang w:val="ro-RO"/>
        </w:rPr>
      </w:pPr>
      <w:r>
        <w:rPr>
          <w:lang w:val="en-US"/>
        </w:rPr>
        <w:t>Controlul asupra realizării prezentei decizii</w:t>
      </w:r>
      <w:r>
        <w:rPr>
          <w:lang w:val="ro-RO"/>
        </w:rPr>
        <w:t xml:space="preserve"> se pune în sarcina Comisiei consultative  pentru Învăţămînt, Cultură, Sport, Tineret, Ocrotirea sănătăţii, Probleme sociale, Turism şi Culte (Alina TABARCEA) și Comisiei consultative pentru Etică, legislație, o</w:t>
      </w:r>
      <w:r>
        <w:rPr>
          <w:lang w:val="ro-RO"/>
        </w:rPr>
        <w:t>rdine și drepturile omului (Iurie VIERU).</w:t>
      </w:r>
    </w:p>
    <w:p w:rsidR="00FE7FEE" w:rsidRDefault="00DC166C">
      <w:pPr>
        <w:pStyle w:val="ae"/>
        <w:numPr>
          <w:ilvl w:val="0"/>
          <w:numId w:val="2"/>
        </w:numPr>
        <w:tabs>
          <w:tab w:val="left" w:pos="0"/>
          <w:tab w:val="left" w:pos="993"/>
        </w:tabs>
        <w:spacing w:line="360" w:lineRule="auto"/>
        <w:ind w:left="0" w:firstLine="567"/>
        <w:jc w:val="both"/>
        <w:rPr>
          <w:shd w:val="clear" w:color="auto" w:fill="FFFFFF"/>
          <w:lang w:val="ro-RO"/>
        </w:rPr>
      </w:pPr>
      <w:r>
        <w:rPr>
          <w:rFonts w:eastAsia="Calibri"/>
          <w:bCs/>
          <w:lang w:val="ro-RO" w:eastAsia="en-US"/>
        </w:rPr>
        <w:t xml:space="preserve">Prezenta decizie poate fi contestată la Judecătoria Bălți (sediul Central, str. Hotinului, nr. 43) în termen de 30 zile de la data comunicării, potrivit prevederilor Codului Administrativ al Republicii Moldova nr. </w:t>
      </w:r>
      <w:r>
        <w:rPr>
          <w:rFonts w:eastAsia="Calibri"/>
          <w:bCs/>
          <w:lang w:val="ro-RO" w:eastAsia="en-US"/>
        </w:rPr>
        <w:t>116/2018.</w:t>
      </w:r>
    </w:p>
    <w:p w:rsidR="00FE7FEE" w:rsidRDefault="00DC166C">
      <w:pPr>
        <w:pStyle w:val="ae"/>
        <w:tabs>
          <w:tab w:val="left" w:pos="1134"/>
        </w:tabs>
        <w:ind w:left="709"/>
        <w:contextualSpacing/>
        <w:jc w:val="center"/>
        <w:rPr>
          <w:rFonts w:eastAsia="Calibri"/>
          <w:bCs/>
          <w:lang w:val="ro-RO" w:eastAsia="en-US"/>
        </w:rPr>
      </w:pPr>
      <w:r>
        <w:rPr>
          <w:b/>
          <w:lang w:val="ro-RO"/>
        </w:rPr>
        <w:t>PREȘEDINTE</w:t>
      </w:r>
    </w:p>
    <w:p w:rsidR="00FE7FEE" w:rsidRDefault="00DC166C">
      <w:pPr>
        <w:jc w:val="center"/>
        <w:rPr>
          <w:b/>
          <w:lang w:val="ro-RO"/>
        </w:rPr>
      </w:pPr>
      <w:r>
        <w:rPr>
          <w:b/>
          <w:lang w:val="ro-RO"/>
        </w:rPr>
        <w:t xml:space="preserve">              Cristian CAINARIAN</w:t>
      </w:r>
    </w:p>
    <w:p w:rsidR="00FE7FEE" w:rsidRDefault="00DC166C">
      <w:pPr>
        <w:pStyle w:val="ae"/>
        <w:tabs>
          <w:tab w:val="left" w:pos="1134"/>
        </w:tabs>
        <w:ind w:left="709"/>
        <w:contextualSpacing/>
        <w:jc w:val="center"/>
        <w:rPr>
          <w:b/>
          <w:lang w:val="ro-RO"/>
        </w:rPr>
      </w:pPr>
      <w:r>
        <w:rPr>
          <w:b/>
          <w:lang w:val="ro-RO"/>
        </w:rPr>
        <w:t>______________________</w:t>
      </w:r>
    </w:p>
    <w:tbl>
      <w:tblPr>
        <w:tblStyle w:val="ad"/>
        <w:tblW w:w="9571" w:type="dxa"/>
        <w:tblInd w:w="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E7FEE" w:rsidRPr="00D471A5">
        <w:tc>
          <w:tcPr>
            <w:tcW w:w="4785" w:type="dxa"/>
          </w:tcPr>
          <w:p w:rsidR="00FE7FEE" w:rsidRDefault="00DC166C">
            <w:pPr>
              <w:ind w:left="-284"/>
              <w:jc w:val="center"/>
              <w:rPr>
                <w:b/>
                <w:lang w:val="en-US"/>
              </w:rPr>
            </w:pPr>
            <w:r>
              <w:rPr>
                <w:b/>
                <w:lang w:val="en-US"/>
              </w:rPr>
              <w:t>CONTRASEMNEAZĂ</w:t>
            </w:r>
          </w:p>
          <w:p w:rsidR="00FE7FEE" w:rsidRDefault="00DC166C">
            <w:pPr>
              <w:ind w:left="-284"/>
              <w:jc w:val="center"/>
              <w:rPr>
                <w:b/>
                <w:lang w:val="en-US"/>
              </w:rPr>
            </w:pPr>
            <w:r>
              <w:rPr>
                <w:b/>
                <w:lang w:val="en-US"/>
              </w:rPr>
              <w:t>Secretară a Consiliului raional</w:t>
            </w:r>
          </w:p>
          <w:p w:rsidR="00FE7FEE" w:rsidRDefault="00DC166C">
            <w:pPr>
              <w:ind w:left="-284"/>
              <w:jc w:val="center"/>
              <w:rPr>
                <w:b/>
                <w:lang w:val="en-US"/>
              </w:rPr>
            </w:pPr>
            <w:r>
              <w:rPr>
                <w:b/>
                <w:lang w:val="en-US"/>
              </w:rPr>
              <w:t>Mihaela LUCA</w:t>
            </w:r>
          </w:p>
          <w:p w:rsidR="00FE7FEE" w:rsidRDefault="00DC166C">
            <w:pPr>
              <w:ind w:left="-284"/>
              <w:jc w:val="center"/>
              <w:rPr>
                <w:lang w:val="en-US"/>
              </w:rPr>
            </w:pPr>
            <w:r>
              <w:rPr>
                <w:lang w:val="en-US"/>
              </w:rPr>
              <w:t>__________________________</w:t>
            </w:r>
          </w:p>
        </w:tc>
        <w:tc>
          <w:tcPr>
            <w:tcW w:w="4786" w:type="dxa"/>
          </w:tcPr>
          <w:p w:rsidR="00FE7FEE" w:rsidRDefault="00DC166C">
            <w:pPr>
              <w:jc w:val="center"/>
              <w:rPr>
                <w:b/>
                <w:lang w:val="en-US"/>
              </w:rPr>
            </w:pPr>
            <w:r>
              <w:rPr>
                <w:b/>
                <w:lang w:val="en-US"/>
              </w:rPr>
              <w:t>COORDONAT</w:t>
            </w:r>
          </w:p>
          <w:p w:rsidR="00FE7FEE" w:rsidRDefault="00DC166C">
            <w:pPr>
              <w:jc w:val="center"/>
              <w:rPr>
                <w:b/>
                <w:lang w:val="en-US"/>
              </w:rPr>
            </w:pPr>
            <w:r>
              <w:rPr>
                <w:b/>
                <w:lang w:val="en-US"/>
              </w:rPr>
              <w:t>Vicepreședinta raionului</w:t>
            </w:r>
          </w:p>
          <w:p w:rsidR="00FE7FEE" w:rsidRDefault="00DC166C">
            <w:pPr>
              <w:jc w:val="center"/>
              <w:rPr>
                <w:b/>
                <w:lang w:val="en-US"/>
              </w:rPr>
            </w:pPr>
            <w:r>
              <w:rPr>
                <w:b/>
                <w:lang w:val="en-US"/>
              </w:rPr>
              <w:t>Vera SERBUȘCA</w:t>
            </w:r>
          </w:p>
          <w:p w:rsidR="00FE7FEE" w:rsidRDefault="00DC166C">
            <w:pPr>
              <w:ind w:left="-284"/>
              <w:jc w:val="center"/>
              <w:rPr>
                <w:lang w:val="en-US"/>
              </w:rPr>
            </w:pPr>
            <w:r>
              <w:rPr>
                <w:bCs/>
                <w:iCs/>
                <w:lang w:val="en-US"/>
              </w:rPr>
              <w:t>_________________________</w:t>
            </w:r>
          </w:p>
        </w:tc>
      </w:tr>
      <w:tr w:rsidR="00FE7FEE">
        <w:trPr>
          <w:trHeight w:val="1010"/>
        </w:trPr>
        <w:tc>
          <w:tcPr>
            <w:tcW w:w="4785" w:type="dxa"/>
          </w:tcPr>
          <w:p w:rsidR="00FE7FEE" w:rsidRDefault="00DC166C">
            <w:pPr>
              <w:jc w:val="center"/>
              <w:rPr>
                <w:b/>
                <w:lang w:val="en-US"/>
              </w:rPr>
            </w:pPr>
            <w:r>
              <w:rPr>
                <w:b/>
                <w:lang w:val="en-US"/>
              </w:rPr>
              <w:t>ÎNTOCMIT</w:t>
            </w:r>
          </w:p>
          <w:p w:rsidR="00FE7FEE" w:rsidRDefault="00DC166C">
            <w:pPr>
              <w:jc w:val="center"/>
              <w:rPr>
                <w:b/>
                <w:lang w:val="ro-RO"/>
              </w:rPr>
            </w:pPr>
            <w:r>
              <w:rPr>
                <w:b/>
                <w:lang w:val="ro-RO"/>
              </w:rPr>
              <w:t xml:space="preserve">Secția </w:t>
            </w:r>
            <w:r>
              <w:rPr>
                <w:b/>
                <w:lang w:val="ro-RO"/>
              </w:rPr>
              <w:t>Juridică și Resurse Umane</w:t>
            </w:r>
          </w:p>
          <w:p w:rsidR="00FE7FEE" w:rsidRDefault="00DC166C">
            <w:pPr>
              <w:jc w:val="center"/>
              <w:rPr>
                <w:b/>
                <w:lang w:val="en-US"/>
              </w:rPr>
            </w:pPr>
            <w:r>
              <w:rPr>
                <w:b/>
                <w:lang w:val="en-US"/>
              </w:rPr>
              <w:t>Aliona CRĂCIUN</w:t>
            </w:r>
          </w:p>
          <w:p w:rsidR="00FE7FEE" w:rsidRDefault="00DC166C">
            <w:pPr>
              <w:ind w:left="-284"/>
              <w:jc w:val="center"/>
              <w:rPr>
                <w:lang w:val="en-US"/>
              </w:rPr>
            </w:pPr>
            <w:r>
              <w:rPr>
                <w:lang w:val="en-US"/>
              </w:rPr>
              <w:t>_________________________</w:t>
            </w:r>
          </w:p>
        </w:tc>
        <w:tc>
          <w:tcPr>
            <w:tcW w:w="4786" w:type="dxa"/>
          </w:tcPr>
          <w:p w:rsidR="00FE7FEE" w:rsidRDefault="00DC166C">
            <w:pPr>
              <w:jc w:val="center"/>
              <w:rPr>
                <w:b/>
                <w:lang w:val="ro-RO"/>
              </w:rPr>
            </w:pPr>
            <w:r>
              <w:rPr>
                <w:b/>
                <w:lang w:val="ro-RO"/>
              </w:rPr>
              <w:t>COORDONAT</w:t>
            </w:r>
          </w:p>
          <w:p w:rsidR="00FE7FEE" w:rsidRDefault="00DC166C">
            <w:pPr>
              <w:jc w:val="center"/>
              <w:rPr>
                <w:b/>
                <w:bCs/>
                <w:iCs/>
                <w:lang w:val="ro-RO"/>
              </w:rPr>
            </w:pPr>
            <w:r>
              <w:rPr>
                <w:b/>
                <w:bCs/>
                <w:iCs/>
                <w:lang w:val="ro-RO"/>
              </w:rPr>
              <w:t xml:space="preserve">Şefă, </w:t>
            </w:r>
            <w:r>
              <w:rPr>
                <w:rFonts w:eastAsia="Calibri"/>
                <w:b/>
                <w:bCs/>
                <w:iCs/>
                <w:lang w:val="en-US" w:eastAsia="en-US"/>
              </w:rPr>
              <w:t>Secția Juridică și  Resurse Umane</w:t>
            </w:r>
          </w:p>
          <w:p w:rsidR="00FE7FEE" w:rsidRDefault="00DC166C">
            <w:pPr>
              <w:spacing w:line="259" w:lineRule="auto"/>
              <w:jc w:val="center"/>
              <w:rPr>
                <w:rFonts w:eastAsia="Calibri"/>
                <w:b/>
                <w:lang w:val="en-US" w:eastAsia="en-US"/>
              </w:rPr>
            </w:pPr>
            <w:r>
              <w:rPr>
                <w:rFonts w:eastAsia="Calibri"/>
                <w:b/>
                <w:lang w:val="en-US" w:eastAsia="en-US"/>
              </w:rPr>
              <w:t>Oxana TABARCEA</w:t>
            </w:r>
          </w:p>
          <w:p w:rsidR="00FE7FEE" w:rsidRDefault="00DC166C">
            <w:pPr>
              <w:ind w:left="-284"/>
              <w:jc w:val="center"/>
              <w:rPr>
                <w:lang w:val="en-US"/>
              </w:rPr>
            </w:pPr>
            <w:r>
              <w:rPr>
                <w:rFonts w:eastAsia="Calibri"/>
                <w:b/>
                <w:lang w:val="en-US" w:eastAsia="en-US"/>
              </w:rPr>
              <w:t>_____________________</w:t>
            </w:r>
          </w:p>
        </w:tc>
      </w:tr>
    </w:tbl>
    <w:p w:rsidR="00FE7FEE" w:rsidRDefault="00FE7FEE">
      <w:pPr>
        <w:jc w:val="right"/>
        <w:rPr>
          <w:bCs/>
          <w:iCs/>
          <w:sz w:val="20"/>
          <w:szCs w:val="20"/>
          <w:lang w:val="ro-RO"/>
        </w:rPr>
      </w:pPr>
    </w:p>
    <w:sectPr w:rsidR="00FE7FEE">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66C" w:rsidRDefault="00DC166C">
      <w:r>
        <w:separator/>
      </w:r>
    </w:p>
  </w:endnote>
  <w:endnote w:type="continuationSeparator" w:id="0">
    <w:p w:rsidR="00DC166C" w:rsidRDefault="00DC1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66C" w:rsidRDefault="00DC166C">
      <w:r>
        <w:separator/>
      </w:r>
    </w:p>
  </w:footnote>
  <w:footnote w:type="continuationSeparator" w:id="0">
    <w:p w:rsidR="00DC166C" w:rsidRDefault="00DC16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3B5ACF"/>
    <w:multiLevelType w:val="multilevel"/>
    <w:tmpl w:val="683B5ACF"/>
    <w:lvl w:ilvl="0">
      <w:start w:val="1"/>
      <w:numFmt w:val="decimal"/>
      <w:lvlText w:val="(%1)"/>
      <w:lvlJc w:val="left"/>
      <w:pPr>
        <w:tabs>
          <w:tab w:val="left" w:pos="780"/>
        </w:tabs>
        <w:ind w:left="780" w:hanging="42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
    <w:nsid w:val="7C6C18FD"/>
    <w:multiLevelType w:val="multilevel"/>
    <w:tmpl w:val="7C6C18FD"/>
    <w:lvl w:ilvl="0">
      <w:start w:val="1"/>
      <w:numFmt w:val="decimal"/>
      <w:lvlText w:val="%1."/>
      <w:lvlJc w:val="left"/>
      <w:pPr>
        <w:ind w:left="2204" w:hanging="360"/>
      </w:pPr>
      <w:rPr>
        <w:rFonts w:hint="default"/>
        <w:b w:val="0"/>
      </w:rPr>
    </w:lvl>
    <w:lvl w:ilvl="1">
      <w:start w:val="1"/>
      <w:numFmt w:val="decimal"/>
      <w:isLgl/>
      <w:lvlText w:val="%1.%2."/>
      <w:lvlJc w:val="left"/>
      <w:pPr>
        <w:ind w:left="2706" w:hanging="360"/>
      </w:pPr>
      <w:rPr>
        <w:rFonts w:hint="default"/>
      </w:rPr>
    </w:lvl>
    <w:lvl w:ilvl="2">
      <w:start w:val="1"/>
      <w:numFmt w:val="decimal"/>
      <w:isLgl/>
      <w:lvlText w:val="%1.%2.%3."/>
      <w:lvlJc w:val="left"/>
      <w:pPr>
        <w:ind w:left="3568" w:hanging="720"/>
      </w:pPr>
      <w:rPr>
        <w:rFonts w:hint="default"/>
      </w:rPr>
    </w:lvl>
    <w:lvl w:ilvl="3">
      <w:start w:val="1"/>
      <w:numFmt w:val="decimal"/>
      <w:isLgl/>
      <w:lvlText w:val="%1.%2.%3.%4."/>
      <w:lvlJc w:val="left"/>
      <w:pPr>
        <w:ind w:left="4070" w:hanging="720"/>
      </w:pPr>
      <w:rPr>
        <w:rFonts w:hint="default"/>
      </w:rPr>
    </w:lvl>
    <w:lvl w:ilvl="4">
      <w:start w:val="1"/>
      <w:numFmt w:val="decimalZero"/>
      <w:isLgl/>
      <w:lvlText w:val="%1.%2.%3.%4.%5."/>
      <w:lvlJc w:val="left"/>
      <w:pPr>
        <w:ind w:left="4932" w:hanging="1080"/>
      </w:pPr>
      <w:rPr>
        <w:rFonts w:hint="default"/>
      </w:rPr>
    </w:lvl>
    <w:lvl w:ilvl="5">
      <w:start w:val="1"/>
      <w:numFmt w:val="decimal"/>
      <w:isLgl/>
      <w:lvlText w:val="%1.%2.%3.%4.%5.%6."/>
      <w:lvlJc w:val="left"/>
      <w:pPr>
        <w:ind w:left="5434" w:hanging="1080"/>
      </w:pPr>
      <w:rPr>
        <w:rFonts w:hint="default"/>
      </w:rPr>
    </w:lvl>
    <w:lvl w:ilvl="6">
      <w:start w:val="1"/>
      <w:numFmt w:val="decimal"/>
      <w:isLgl/>
      <w:lvlText w:val="%1.%2.%3.%4.%5.%6.%7."/>
      <w:lvlJc w:val="left"/>
      <w:pPr>
        <w:ind w:left="6296" w:hanging="1440"/>
      </w:pPr>
      <w:rPr>
        <w:rFonts w:hint="default"/>
      </w:rPr>
    </w:lvl>
    <w:lvl w:ilvl="7">
      <w:start w:val="1"/>
      <w:numFmt w:val="decimal"/>
      <w:isLgl/>
      <w:lvlText w:val="%1.%2.%3.%4.%5.%6.%7.%8."/>
      <w:lvlJc w:val="left"/>
      <w:pPr>
        <w:ind w:left="6798" w:hanging="1440"/>
      </w:pPr>
      <w:rPr>
        <w:rFonts w:hint="default"/>
      </w:rPr>
    </w:lvl>
    <w:lvl w:ilvl="8">
      <w:start w:val="1"/>
      <w:numFmt w:val="decimal"/>
      <w:isLgl/>
      <w:lvlText w:val="%1.%2.%3.%4.%5.%6.%7.%8.%9."/>
      <w:lvlJc w:val="left"/>
      <w:pPr>
        <w:ind w:left="76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B6"/>
    <w:rsid w:val="000201AB"/>
    <w:rsid w:val="00027184"/>
    <w:rsid w:val="00065F56"/>
    <w:rsid w:val="00070D02"/>
    <w:rsid w:val="00074AEA"/>
    <w:rsid w:val="00081B6E"/>
    <w:rsid w:val="000A4234"/>
    <w:rsid w:val="000A6FDA"/>
    <w:rsid w:val="000C1885"/>
    <w:rsid w:val="000D64FD"/>
    <w:rsid w:val="000D71BA"/>
    <w:rsid w:val="00124959"/>
    <w:rsid w:val="001321E7"/>
    <w:rsid w:val="001505FF"/>
    <w:rsid w:val="00166AD6"/>
    <w:rsid w:val="0017515D"/>
    <w:rsid w:val="0019153A"/>
    <w:rsid w:val="001919DB"/>
    <w:rsid w:val="001A6783"/>
    <w:rsid w:val="001C28BB"/>
    <w:rsid w:val="001D195B"/>
    <w:rsid w:val="001D59B0"/>
    <w:rsid w:val="001F15F7"/>
    <w:rsid w:val="00202BB4"/>
    <w:rsid w:val="00203DF8"/>
    <w:rsid w:val="002256B2"/>
    <w:rsid w:val="00227381"/>
    <w:rsid w:val="002309D1"/>
    <w:rsid w:val="00232E9E"/>
    <w:rsid w:val="00237951"/>
    <w:rsid w:val="0025358D"/>
    <w:rsid w:val="002535F5"/>
    <w:rsid w:val="00263180"/>
    <w:rsid w:val="0028612C"/>
    <w:rsid w:val="002A385B"/>
    <w:rsid w:val="002D5B37"/>
    <w:rsid w:val="002E1CC7"/>
    <w:rsid w:val="002F02C6"/>
    <w:rsid w:val="00314F72"/>
    <w:rsid w:val="003324EC"/>
    <w:rsid w:val="0033377F"/>
    <w:rsid w:val="00355ABD"/>
    <w:rsid w:val="003608F7"/>
    <w:rsid w:val="0038178B"/>
    <w:rsid w:val="003A2855"/>
    <w:rsid w:val="003B4566"/>
    <w:rsid w:val="003D3842"/>
    <w:rsid w:val="003E7392"/>
    <w:rsid w:val="003E7F7D"/>
    <w:rsid w:val="0040024B"/>
    <w:rsid w:val="004159E6"/>
    <w:rsid w:val="00421DF2"/>
    <w:rsid w:val="00436227"/>
    <w:rsid w:val="00436DD5"/>
    <w:rsid w:val="00457CC0"/>
    <w:rsid w:val="00474F91"/>
    <w:rsid w:val="004806F4"/>
    <w:rsid w:val="004B52B7"/>
    <w:rsid w:val="004D3BAD"/>
    <w:rsid w:val="00500BC9"/>
    <w:rsid w:val="00516F61"/>
    <w:rsid w:val="00531F50"/>
    <w:rsid w:val="00547949"/>
    <w:rsid w:val="00554DD4"/>
    <w:rsid w:val="0058408F"/>
    <w:rsid w:val="005875CD"/>
    <w:rsid w:val="00590274"/>
    <w:rsid w:val="005A3266"/>
    <w:rsid w:val="005A3FBD"/>
    <w:rsid w:val="005E6D21"/>
    <w:rsid w:val="005F3248"/>
    <w:rsid w:val="005F5490"/>
    <w:rsid w:val="00627E53"/>
    <w:rsid w:val="006321B1"/>
    <w:rsid w:val="00634148"/>
    <w:rsid w:val="00640AB1"/>
    <w:rsid w:val="006477FF"/>
    <w:rsid w:val="00656701"/>
    <w:rsid w:val="0066069B"/>
    <w:rsid w:val="006766FC"/>
    <w:rsid w:val="006B335C"/>
    <w:rsid w:val="006C18A3"/>
    <w:rsid w:val="006D522F"/>
    <w:rsid w:val="006F6CC6"/>
    <w:rsid w:val="007003BD"/>
    <w:rsid w:val="00704AC2"/>
    <w:rsid w:val="0071296E"/>
    <w:rsid w:val="00716D9B"/>
    <w:rsid w:val="007174DC"/>
    <w:rsid w:val="00724A32"/>
    <w:rsid w:val="00750465"/>
    <w:rsid w:val="007702C1"/>
    <w:rsid w:val="007749B6"/>
    <w:rsid w:val="00796E8A"/>
    <w:rsid w:val="007D43E0"/>
    <w:rsid w:val="007D6B28"/>
    <w:rsid w:val="007E123A"/>
    <w:rsid w:val="007E3FCA"/>
    <w:rsid w:val="007F3FB4"/>
    <w:rsid w:val="008300D6"/>
    <w:rsid w:val="0085067B"/>
    <w:rsid w:val="00865003"/>
    <w:rsid w:val="00881517"/>
    <w:rsid w:val="008B3E04"/>
    <w:rsid w:val="008C3B76"/>
    <w:rsid w:val="008D1711"/>
    <w:rsid w:val="008D328B"/>
    <w:rsid w:val="008D4534"/>
    <w:rsid w:val="008D5561"/>
    <w:rsid w:val="008E73D3"/>
    <w:rsid w:val="008F69EF"/>
    <w:rsid w:val="009003AA"/>
    <w:rsid w:val="00923351"/>
    <w:rsid w:val="00927B8F"/>
    <w:rsid w:val="00935B18"/>
    <w:rsid w:val="00960690"/>
    <w:rsid w:val="0096106A"/>
    <w:rsid w:val="00964D6C"/>
    <w:rsid w:val="009701D3"/>
    <w:rsid w:val="009A4C82"/>
    <w:rsid w:val="009B2B4D"/>
    <w:rsid w:val="009C6080"/>
    <w:rsid w:val="009D70F2"/>
    <w:rsid w:val="009E4FE1"/>
    <w:rsid w:val="009E5324"/>
    <w:rsid w:val="009F1A5E"/>
    <w:rsid w:val="009F33CE"/>
    <w:rsid w:val="00A12535"/>
    <w:rsid w:val="00A12D12"/>
    <w:rsid w:val="00A46F8C"/>
    <w:rsid w:val="00A5607F"/>
    <w:rsid w:val="00A66A36"/>
    <w:rsid w:val="00A73163"/>
    <w:rsid w:val="00AD70D8"/>
    <w:rsid w:val="00AF3D6D"/>
    <w:rsid w:val="00B01B93"/>
    <w:rsid w:val="00B27E4A"/>
    <w:rsid w:val="00B40161"/>
    <w:rsid w:val="00B62F5D"/>
    <w:rsid w:val="00B832BC"/>
    <w:rsid w:val="00B8385B"/>
    <w:rsid w:val="00B93860"/>
    <w:rsid w:val="00BB0346"/>
    <w:rsid w:val="00BB67C7"/>
    <w:rsid w:val="00BD2974"/>
    <w:rsid w:val="00BE66A6"/>
    <w:rsid w:val="00C05302"/>
    <w:rsid w:val="00C26727"/>
    <w:rsid w:val="00C320ED"/>
    <w:rsid w:val="00C360ED"/>
    <w:rsid w:val="00C477F5"/>
    <w:rsid w:val="00C608FD"/>
    <w:rsid w:val="00C6355A"/>
    <w:rsid w:val="00C66CCA"/>
    <w:rsid w:val="00C7050E"/>
    <w:rsid w:val="00C72AEA"/>
    <w:rsid w:val="00C72C0A"/>
    <w:rsid w:val="00C90EA9"/>
    <w:rsid w:val="00CA6E0F"/>
    <w:rsid w:val="00CB4CD9"/>
    <w:rsid w:val="00CE6F56"/>
    <w:rsid w:val="00D01F21"/>
    <w:rsid w:val="00D205F2"/>
    <w:rsid w:val="00D2563A"/>
    <w:rsid w:val="00D36A92"/>
    <w:rsid w:val="00D3712C"/>
    <w:rsid w:val="00D40963"/>
    <w:rsid w:val="00D4410C"/>
    <w:rsid w:val="00D45193"/>
    <w:rsid w:val="00D471A5"/>
    <w:rsid w:val="00D92014"/>
    <w:rsid w:val="00DC166C"/>
    <w:rsid w:val="00DD3725"/>
    <w:rsid w:val="00E02395"/>
    <w:rsid w:val="00E10FF9"/>
    <w:rsid w:val="00E170CE"/>
    <w:rsid w:val="00E24260"/>
    <w:rsid w:val="00E43CE2"/>
    <w:rsid w:val="00E54D0F"/>
    <w:rsid w:val="00E57B87"/>
    <w:rsid w:val="00E644CF"/>
    <w:rsid w:val="00E70BC0"/>
    <w:rsid w:val="00E953FE"/>
    <w:rsid w:val="00EA46E7"/>
    <w:rsid w:val="00EB118B"/>
    <w:rsid w:val="00EB3F4B"/>
    <w:rsid w:val="00EB5E8E"/>
    <w:rsid w:val="00EC1781"/>
    <w:rsid w:val="00EC1AA9"/>
    <w:rsid w:val="00EE0A7E"/>
    <w:rsid w:val="00EE5567"/>
    <w:rsid w:val="00F1585E"/>
    <w:rsid w:val="00F4073E"/>
    <w:rsid w:val="00F95597"/>
    <w:rsid w:val="00FA0190"/>
    <w:rsid w:val="00FB51FC"/>
    <w:rsid w:val="00FB56A1"/>
    <w:rsid w:val="00FC0DCD"/>
    <w:rsid w:val="00FC3FC2"/>
    <w:rsid w:val="00FC775B"/>
    <w:rsid w:val="00FE177F"/>
    <w:rsid w:val="00FE6816"/>
    <w:rsid w:val="00FE7FEE"/>
    <w:rsid w:val="00FF004E"/>
    <w:rsid w:val="00FF2C68"/>
    <w:rsid w:val="00FF4826"/>
    <w:rsid w:val="00FF5487"/>
    <w:rsid w:val="2C43205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FB5D4F80-0B0A-4815-9AA6-E447F8C3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rPr>
      <w:rFonts w:ascii="Tahoma" w:hAnsi="Tahoma" w:cs="Tahoma"/>
      <w:sz w:val="16"/>
      <w:szCs w:val="16"/>
    </w:rPr>
  </w:style>
  <w:style w:type="paragraph" w:styleId="21">
    <w:name w:val="Body Text 2"/>
    <w:basedOn w:val="a"/>
    <w:link w:val="22"/>
    <w:qFormat/>
    <w:pPr>
      <w:spacing w:after="120" w:line="480" w:lineRule="auto"/>
    </w:pPr>
  </w:style>
  <w:style w:type="paragraph" w:styleId="a6">
    <w:name w:val="header"/>
    <w:basedOn w:val="a"/>
    <w:link w:val="a7"/>
    <w:uiPriority w:val="99"/>
    <w:unhideWhenUsed/>
    <w:pPr>
      <w:tabs>
        <w:tab w:val="center" w:pos="4677"/>
        <w:tab w:val="right" w:pos="9355"/>
      </w:tabs>
    </w:pPr>
  </w:style>
  <w:style w:type="paragraph" w:styleId="a8">
    <w:name w:val="Body Text"/>
    <w:basedOn w:val="a"/>
    <w:link w:val="a9"/>
    <w:uiPriority w:val="99"/>
    <w:unhideWhenUsed/>
    <w:pPr>
      <w:spacing w:after="120"/>
    </w:pPr>
  </w:style>
  <w:style w:type="paragraph" w:styleId="aa">
    <w:name w:val="footer"/>
    <w:basedOn w:val="a"/>
    <w:link w:val="ab"/>
    <w:uiPriority w:val="99"/>
    <w:unhideWhenUsed/>
    <w:qFormat/>
    <w:pPr>
      <w:tabs>
        <w:tab w:val="center" w:pos="4677"/>
        <w:tab w:val="right" w:pos="9355"/>
      </w:tabs>
    </w:pPr>
  </w:style>
  <w:style w:type="paragraph" w:styleId="ac">
    <w:name w:val="Normal (Web)"/>
    <w:basedOn w:val="a"/>
    <w:uiPriority w:val="99"/>
    <w:unhideWhenUsed/>
    <w:qFormat/>
    <w:pPr>
      <w:spacing w:before="100" w:beforeAutospacing="1" w:after="100" w:afterAutospacing="1"/>
    </w:pPr>
  </w:style>
  <w:style w:type="paragraph" w:styleId="31">
    <w:name w:val="Body Text 3"/>
    <w:basedOn w:val="a"/>
    <w:link w:val="32"/>
    <w:uiPriority w:val="99"/>
    <w:semiHidden/>
    <w:unhideWhenUsed/>
    <w:qFormat/>
    <w:pPr>
      <w:spacing w:after="120"/>
    </w:pPr>
    <w:rPr>
      <w:sz w:val="16"/>
      <w:szCs w:val="16"/>
    </w:rPr>
  </w:style>
  <w:style w:type="table" w:styleId="ad">
    <w:name w:val="Table Grid"/>
    <w:basedOn w:val="a1"/>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e">
    <w:name w:val="List Paragraph"/>
    <w:basedOn w:val="a"/>
    <w:link w:val="af"/>
    <w:uiPriority w:val="34"/>
    <w:qFormat/>
    <w:pPr>
      <w:ind w:left="708"/>
    </w:pPr>
  </w:style>
  <w:style w:type="paragraph" w:styleId="af0">
    <w:name w:val="No Spacing"/>
    <w:uiPriority w:val="1"/>
    <w:qFormat/>
    <w:rPr>
      <w:rFonts w:eastAsiaTheme="minorEastAsia"/>
      <w:sz w:val="22"/>
      <w:szCs w:val="22"/>
      <w:lang w:val="en-US" w:eastAsia="en-US"/>
    </w:rPr>
  </w:style>
  <w:style w:type="character" w:customStyle="1" w:styleId="apple-converted-space">
    <w:name w:val="apple-converted-space"/>
    <w:basedOn w:val="a0"/>
    <w:qFormat/>
  </w:style>
  <w:style w:type="character" w:customStyle="1" w:styleId="a5">
    <w:name w:val="Текст выноски Знак"/>
    <w:basedOn w:val="a0"/>
    <w:link w:val="a4"/>
    <w:uiPriority w:val="99"/>
    <w:semiHidden/>
    <w:rPr>
      <w:rFonts w:ascii="Tahoma" w:eastAsia="Times New Roman" w:hAnsi="Tahoma" w:cs="Tahoma"/>
      <w:sz w:val="16"/>
      <w:szCs w:val="16"/>
      <w:lang w:eastAsia="ru-RU"/>
    </w:rPr>
  </w:style>
  <w:style w:type="character" w:customStyle="1" w:styleId="22">
    <w:name w:val="Основной текст 2 Знак"/>
    <w:basedOn w:val="a0"/>
    <w:link w:val="21"/>
    <w:qFormat/>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sz w:val="24"/>
      <w:szCs w:val="24"/>
      <w:lang w:eastAsia="ru-RU"/>
    </w:rPr>
  </w:style>
  <w:style w:type="character" w:customStyle="1" w:styleId="a9">
    <w:name w:val="Основной текст Знак"/>
    <w:basedOn w:val="a0"/>
    <w:link w:val="a8"/>
    <w:uiPriority w:val="99"/>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sz w:val="24"/>
      <w:szCs w:val="24"/>
      <w:lang w:eastAsia="ru-RU"/>
    </w:rPr>
  </w:style>
  <w:style w:type="character" w:customStyle="1" w:styleId="a7">
    <w:name w:val="Верхний колонтитул Знак"/>
    <w:basedOn w:val="a0"/>
    <w:link w:val="a6"/>
    <w:uiPriority w:val="99"/>
    <w:rPr>
      <w:rFonts w:ascii="Times New Roman" w:eastAsia="Times New Roman" w:hAnsi="Times New Roman" w:cs="Times New Roman"/>
      <w:sz w:val="24"/>
      <w:szCs w:val="24"/>
      <w:lang w:eastAsia="ru-RU"/>
    </w:rPr>
  </w:style>
  <w:style w:type="character" w:customStyle="1" w:styleId="ab">
    <w:name w:val="Нижний колонтитул Знак"/>
    <w:basedOn w:val="a0"/>
    <w:link w:val="aa"/>
    <w:uiPriority w:val="99"/>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qFormat/>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2">
    <w:name w:val="Основной текст 3 Знак"/>
    <w:basedOn w:val="a0"/>
    <w:link w:val="31"/>
    <w:uiPriority w:val="99"/>
    <w:semiHidden/>
    <w:qFormat/>
    <w:rPr>
      <w:rFonts w:ascii="Times New Roman" w:eastAsia="Times New Roman" w:hAnsi="Times New Roman" w:cs="Times New Roman"/>
      <w:sz w:val="16"/>
      <w:szCs w:val="16"/>
      <w:lang w:eastAsia="ru-RU"/>
    </w:rPr>
  </w:style>
  <w:style w:type="character" w:customStyle="1" w:styleId="af">
    <w:name w:val="Абзац списка Знак"/>
    <w:basedOn w:val="a0"/>
    <w:link w:val="ae"/>
    <w:uiPriority w:val="34"/>
    <w:lock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B2D41-C80A-4793-BBC4-120779A53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1148</Words>
  <Characters>6546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Mariana</cp:lastModifiedBy>
  <cp:revision>2</cp:revision>
  <cp:lastPrinted>2026-10-27T14:32:00Z</cp:lastPrinted>
  <dcterms:created xsi:type="dcterms:W3CDTF">2026-10-27T16:16:00Z</dcterms:created>
  <dcterms:modified xsi:type="dcterms:W3CDTF">2026-10-27T16:16:00Z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eyJoZGlkIjoiYTk3OTkxZmVhYmRiZDZiNDlmYWFlZjM0NTJlMTliNjQiLCJ1c2VySWQiOiIxMTE1MDIzMDQ0NDY3MiJ9</vt:lpwstr>
  </property>
  <property fmtid="{D5CDD505-2E9C-101B-9397-08002B2CF9AE}" pid="3" name="KSOProductBuildVer">
    <vt:lpwstr>1049-12.1.0.29162</vt:lpwstr>
  </property>
  <property fmtid="{D5CDD505-2E9C-101B-9397-08002B2CF9AE}" pid="4" name="ICV">
    <vt:lpwstr>C486798E456146E6A438DC33939CDB92_13</vt:lpwstr>
  </property>
</Properties>
</file>